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FA" w:rsidRDefault="00EF00EB" w:rsidP="00686E2B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00EB">
        <w:rPr>
          <w:rFonts w:ascii="Times New Roman" w:hAnsi="Times New Roman"/>
          <w:b/>
          <w:sz w:val="28"/>
          <w:szCs w:val="28"/>
        </w:rPr>
        <w:t>Анкета МКД для экспресс-оценки потенциала энергосбережения</w:t>
      </w:r>
    </w:p>
    <w:p w:rsidR="004118D6" w:rsidRDefault="004118D6" w:rsidP="004118D6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организации__________________________________________________</w:t>
      </w:r>
    </w:p>
    <w:p w:rsidR="004118D6" w:rsidRDefault="004118D6" w:rsidP="004118D6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___________________________________________________________</w:t>
      </w:r>
    </w:p>
    <w:p w:rsidR="00140CC3" w:rsidRPr="00140CC3" w:rsidRDefault="00140CC3" w:rsidP="004118D6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МКД _______________________________________________________________</w:t>
      </w:r>
    </w:p>
    <w:p w:rsidR="004118D6" w:rsidRPr="00FE6BC0" w:rsidRDefault="004118D6" w:rsidP="00FE6BC0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Контакты: тел____________________________ эл. почта _________________________</w:t>
      </w:r>
    </w:p>
    <w:tbl>
      <w:tblPr>
        <w:tblpPr w:leftFromText="180" w:rightFromText="180" w:vertAnchor="text" w:horzAnchor="margin" w:tblpX="-67" w:tblpY="239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552"/>
        <w:gridCol w:w="3859"/>
      </w:tblGrid>
      <w:tr w:rsidR="0086420F" w:rsidRPr="00EF00EB" w:rsidTr="005416D2">
        <w:trPr>
          <w:trHeight w:val="553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686E2B" w:rsidRDefault="0086420F" w:rsidP="00FE1D37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686E2B" w:rsidRDefault="0086420F" w:rsidP="00FE1D37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Значение</w:t>
            </w:r>
          </w:p>
        </w:tc>
        <w:tc>
          <w:tcPr>
            <w:tcW w:w="2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686E2B" w:rsidRDefault="0086420F" w:rsidP="00FE1D37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Необходимо заполнить для учета климатического фактора.</w:t>
            </w:r>
            <w:r w:rsidRPr="00686E2B">
              <w:rPr>
                <w:rFonts w:ascii="Times New Roman" w:hAnsi="Times New Roman"/>
                <w:color w:val="000000"/>
                <w:lang w:eastAsia="ru-RU"/>
              </w:rPr>
              <w:br/>
              <w:t>Если вашего города нет в списке, выбирайте ближайший имеющийся.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Город (населенный пункт)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vMerge/>
            <w:shd w:val="clear" w:color="auto" w:fill="auto"/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Год постройки 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Для разновысокого здания среднее по подъездам</w:t>
            </w:r>
          </w:p>
        </w:tc>
      </w:tr>
      <w:tr w:rsidR="005416D2" w:rsidRPr="00EF00EB" w:rsidTr="005416D2">
        <w:trPr>
          <w:trHeight w:val="300"/>
        </w:trPr>
        <w:tc>
          <w:tcPr>
            <w:tcW w:w="16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6D2" w:rsidRPr="00686E2B" w:rsidRDefault="005416D2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6D2" w:rsidRPr="00EF00EB" w:rsidRDefault="005416D2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6D2" w:rsidRPr="00686E2B" w:rsidRDefault="005416D2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Площадь квартир и нежилых помещений МКД,</w:t>
            </w:r>
            <w:r w:rsidRPr="00686E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м</w:t>
            </w:r>
            <w:r w:rsidRPr="00686E2B">
              <w:rPr>
                <w:rFonts w:ascii="Times New Roman" w:hAnsi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без площади общего имущества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Наличие лифтов в МКД?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 да / нет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Совместный учет теплоэнергии на отопление и ГВС?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> да / нет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Суммарный годовой расход теплоэнергии на отопление и ГВС, </w:t>
            </w:r>
            <w:r w:rsidRPr="00686E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Гкал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не заполняйте, если нет </w:t>
            </w: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совместного</w:t>
            </w: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 учета расхода теплоэнергии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Годовой расход теплоэнергии на отопление, </w:t>
            </w:r>
            <w:r w:rsidRPr="00686E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Гкал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не заполняйте, если нет </w:t>
            </w: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отдельного</w:t>
            </w: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 учета расхода теплоэнергии на отопление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Годовой расход теплоэнергии на горячее водоснабжение, </w:t>
            </w:r>
            <w:r w:rsidRPr="00686E2B">
              <w:rPr>
                <w:rFonts w:ascii="Times New Roman" w:hAnsi="Times New Roman"/>
                <w:i/>
                <w:color w:val="000000"/>
                <w:lang w:eastAsia="ru-RU"/>
              </w:rPr>
              <w:t>Гкал</w:t>
            </w:r>
            <w:r w:rsidR="00EF00EB" w:rsidRPr="00686E2B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не заполняйте, если нет </w:t>
            </w:r>
            <w:r w:rsidRPr="00686E2B">
              <w:rPr>
                <w:rFonts w:ascii="Times New Roman" w:hAnsi="Times New Roman"/>
                <w:b/>
                <w:color w:val="000000"/>
                <w:lang w:eastAsia="ru-RU"/>
              </w:rPr>
              <w:t>отдельного</w:t>
            </w: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 учета расхода теплоэнергии на горячее водоснабжение</w:t>
            </w:r>
          </w:p>
        </w:tc>
      </w:tr>
      <w:tr w:rsidR="00227C99" w:rsidRPr="00EF00EB" w:rsidTr="005416D2">
        <w:trPr>
          <w:trHeight w:val="300"/>
        </w:trPr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6E2B">
              <w:rPr>
                <w:rFonts w:ascii="Times New Roman" w:hAnsi="Times New Roman"/>
                <w:color w:val="000000"/>
                <w:lang w:eastAsia="ru-RU"/>
              </w:rPr>
              <w:t xml:space="preserve">Годовой расход электроэнергии на общедомовые нужды, </w:t>
            </w:r>
            <w:r w:rsidRPr="00686E2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кВтч</w:t>
            </w:r>
          </w:p>
        </w:tc>
        <w:tc>
          <w:tcPr>
            <w:tcW w:w="13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20F" w:rsidRPr="00EF00EB" w:rsidRDefault="0086420F" w:rsidP="00FE1D3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F00EB" w:rsidRDefault="00EF00EB" w:rsidP="00EF00EB">
      <w:pPr>
        <w:ind w:left="-709"/>
        <w:rPr>
          <w:rFonts w:ascii="Times New Roman" w:hAnsi="Times New Roman"/>
        </w:rPr>
      </w:pPr>
    </w:p>
    <w:p w:rsidR="0086420F" w:rsidRDefault="00EF00EB" w:rsidP="00227C99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- при отсутствии показаний прибора учета в Гкал, </w:t>
      </w:r>
      <w:r w:rsidRPr="00EF00EB">
        <w:rPr>
          <w:rFonts w:ascii="Times New Roman" w:hAnsi="Times New Roman"/>
        </w:rPr>
        <w:t xml:space="preserve">объем потребления тепловой энергии на цели ГВС </w:t>
      </w:r>
      <w:r>
        <w:rPr>
          <w:rFonts w:ascii="Times New Roman" w:hAnsi="Times New Roman"/>
        </w:rPr>
        <w:t xml:space="preserve">может быть выделен </w:t>
      </w:r>
      <w:r w:rsidRPr="00EF00EB">
        <w:rPr>
          <w:rFonts w:ascii="Times New Roman" w:hAnsi="Times New Roman"/>
        </w:rPr>
        <w:t>как произведение суммы объемов потребления ГВС по показаниям индивидуальных (квартирных) приборов учета на количество теплоты, необходимой на подогрев одного куб.м воды</w:t>
      </w:r>
      <w:r>
        <w:rPr>
          <w:rFonts w:ascii="Times New Roman" w:hAnsi="Times New Roman"/>
        </w:rPr>
        <w:t xml:space="preserve"> (</w:t>
      </w:r>
      <w:r w:rsidRPr="00EF00EB">
        <w:rPr>
          <w:rFonts w:ascii="Times New Roman" w:hAnsi="Times New Roman"/>
        </w:rPr>
        <w:t>~</w:t>
      </w:r>
      <w:r>
        <w:rPr>
          <w:rFonts w:ascii="Times New Roman" w:hAnsi="Times New Roman"/>
        </w:rPr>
        <w:t>0,055 Гкал/куб.м)</w:t>
      </w:r>
      <w:r w:rsidRPr="00EF00EB">
        <w:rPr>
          <w:rFonts w:ascii="Times New Roman" w:hAnsi="Times New Roman"/>
        </w:rPr>
        <w:t>. При отсутствии показаний по индивидуальным (квартирным) приборам учета горячей воды и приборам учета в нежилых помещениях, применяется норматив потребления ГВС.</w:t>
      </w:r>
    </w:p>
    <w:p w:rsidR="00FE1D37" w:rsidRPr="00D859E2" w:rsidRDefault="00D859E2" w:rsidP="00D859E2">
      <w:pPr>
        <w:ind w:firstLine="425"/>
        <w:jc w:val="both"/>
        <w:rPr>
          <w:rFonts w:ascii="Times New Roman" w:hAnsi="Times New Roman"/>
          <w:b/>
        </w:rPr>
      </w:pPr>
      <w:r w:rsidRPr="00D859E2">
        <w:rPr>
          <w:rFonts w:ascii="Times New Roman" w:hAnsi="Times New Roman"/>
          <w:b/>
          <w:sz w:val="24"/>
        </w:rPr>
        <w:t xml:space="preserve">По вопросу заполнения анкеты необходимо обращаться к эксперту </w:t>
      </w:r>
      <w:r w:rsidRPr="00D859E2">
        <w:rPr>
          <w:rFonts w:ascii="Times New Roman" w:hAnsi="Times New Roman"/>
          <w:b/>
          <w:sz w:val="24"/>
          <w:lang w:val="en-US"/>
        </w:rPr>
        <w:t>IFC</w:t>
      </w:r>
      <w:r w:rsidRPr="00D859E2">
        <w:rPr>
          <w:rFonts w:ascii="Times New Roman" w:hAnsi="Times New Roman"/>
          <w:b/>
          <w:sz w:val="24"/>
        </w:rPr>
        <w:t xml:space="preserve"> Комарову Олегу Викторович</w:t>
      </w:r>
      <w:r w:rsidRPr="00D859E2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</w:t>
      </w:r>
      <w:hyperlink r:id="rId6" w:history="1">
        <w:r w:rsidRPr="00153EDC">
          <w:rPr>
            <w:rStyle w:val="a9"/>
            <w:rFonts w:ascii="Times New Roman" w:hAnsi="Times New Roman"/>
            <w:b/>
          </w:rPr>
          <w:t>okomarov@ifc.org</w:t>
        </w:r>
      </w:hyperlink>
    </w:p>
    <w:p w:rsidR="00FE1D37" w:rsidRDefault="00FE1D37" w:rsidP="00EF00EB">
      <w:pPr>
        <w:ind w:left="-709" w:firstLine="425"/>
        <w:jc w:val="both"/>
        <w:rPr>
          <w:rFonts w:ascii="Times New Roman" w:hAnsi="Times New Roman"/>
        </w:rPr>
      </w:pPr>
    </w:p>
    <w:p w:rsidR="00443E47" w:rsidRDefault="00FE1D37" w:rsidP="00020904">
      <w:pPr>
        <w:ind w:firstLine="425"/>
        <w:jc w:val="center"/>
        <w:rPr>
          <w:rFonts w:ascii="Times New Roman" w:hAnsi="Times New Roman"/>
          <w:sz w:val="28"/>
        </w:rPr>
      </w:pPr>
      <w:r w:rsidRPr="00FE1D37">
        <w:rPr>
          <w:rFonts w:ascii="Times New Roman" w:hAnsi="Times New Roman"/>
          <w:b/>
          <w:bCs/>
          <w:sz w:val="28"/>
        </w:rPr>
        <w:t xml:space="preserve">Заполненную анкету просим направить в </w:t>
      </w:r>
      <w:r w:rsidRPr="00FE1D37">
        <w:rPr>
          <w:rFonts w:ascii="Times New Roman" w:hAnsi="Times New Roman"/>
          <w:b/>
          <w:bCs/>
          <w:sz w:val="28"/>
          <w:lang w:val="en-US"/>
        </w:rPr>
        <w:t>IFC</w:t>
      </w:r>
      <w:r w:rsidRPr="00FE1D37">
        <w:rPr>
          <w:rFonts w:ascii="Times New Roman" w:hAnsi="Times New Roman"/>
          <w:b/>
          <w:bCs/>
          <w:sz w:val="28"/>
        </w:rPr>
        <w:t xml:space="preserve"> на адрес электронной почты</w:t>
      </w:r>
      <w:r w:rsidR="00020904">
        <w:rPr>
          <w:rFonts w:ascii="Times New Roman" w:hAnsi="Times New Roman"/>
          <w:b/>
          <w:bCs/>
          <w:sz w:val="28"/>
        </w:rPr>
        <w:t xml:space="preserve"> </w:t>
      </w:r>
      <w:hyperlink r:id="rId7" w:history="1">
        <w:r w:rsidRPr="00FE1D37">
          <w:rPr>
            <w:rStyle w:val="a9"/>
            <w:rFonts w:ascii="Times New Roman" w:hAnsi="Times New Roman"/>
            <w:b/>
            <w:bCs/>
            <w:sz w:val="28"/>
            <w:lang w:val="en-US"/>
          </w:rPr>
          <w:t>kshishka</w:t>
        </w:r>
        <w:r w:rsidRPr="00443E47">
          <w:rPr>
            <w:rStyle w:val="a9"/>
            <w:rFonts w:ascii="Times New Roman" w:hAnsi="Times New Roman"/>
            <w:b/>
            <w:bCs/>
            <w:sz w:val="28"/>
          </w:rPr>
          <w:t>@</w:t>
        </w:r>
        <w:r w:rsidRPr="00FE1D37">
          <w:rPr>
            <w:rStyle w:val="a9"/>
            <w:rFonts w:ascii="Times New Roman" w:hAnsi="Times New Roman"/>
            <w:b/>
            <w:bCs/>
            <w:sz w:val="28"/>
            <w:lang w:val="en-US"/>
          </w:rPr>
          <w:t>ifc</w:t>
        </w:r>
        <w:r w:rsidRPr="00443E47">
          <w:rPr>
            <w:rStyle w:val="a9"/>
            <w:rFonts w:ascii="Times New Roman" w:hAnsi="Times New Roman"/>
            <w:b/>
            <w:bCs/>
            <w:sz w:val="28"/>
          </w:rPr>
          <w:t>.</w:t>
        </w:r>
        <w:r w:rsidRPr="00FE1D37">
          <w:rPr>
            <w:rStyle w:val="a9"/>
            <w:rFonts w:ascii="Times New Roman" w:hAnsi="Times New Roman"/>
            <w:b/>
            <w:bCs/>
            <w:sz w:val="28"/>
            <w:lang w:val="en-US"/>
          </w:rPr>
          <w:t>org</w:t>
        </w:r>
      </w:hyperlink>
    </w:p>
    <w:sectPr w:rsidR="00443E47" w:rsidSect="00C55B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0C" w:rsidRDefault="00B6400C" w:rsidP="00686E2B">
      <w:r>
        <w:separator/>
      </w:r>
    </w:p>
  </w:endnote>
  <w:endnote w:type="continuationSeparator" w:id="0">
    <w:p w:rsidR="00B6400C" w:rsidRDefault="00B6400C" w:rsidP="0068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0C" w:rsidRDefault="00B6400C" w:rsidP="00686E2B">
      <w:r>
        <w:separator/>
      </w:r>
    </w:p>
  </w:footnote>
  <w:footnote w:type="continuationSeparator" w:id="0">
    <w:p w:rsidR="00B6400C" w:rsidRDefault="00B6400C" w:rsidP="0068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851"/>
      <w:gridCol w:w="4501"/>
    </w:tblGrid>
    <w:tr w:rsidR="00FE1D37" w:rsidRPr="00B94274" w:rsidTr="00B14116">
      <w:tc>
        <w:tcPr>
          <w:tcW w:w="4219" w:type="dxa"/>
        </w:tcPr>
        <w:p w:rsidR="00FE1D37" w:rsidRPr="00B94274" w:rsidRDefault="00AD27FA" w:rsidP="00FE1D37">
          <w:pPr>
            <w:pStyle w:val="a4"/>
            <w:spacing w:after="120"/>
            <w:rPr>
              <w:rFonts w:ascii="Times New Roman" w:hAnsi="Times New Roman"/>
            </w:rPr>
          </w:pPr>
          <w:r w:rsidRPr="00FE1D37">
            <w:rPr>
              <w:rFonts w:ascii="Times New Roman" w:hAnsi="Times New Roman"/>
              <w:noProof/>
              <w:lang w:eastAsia="ru-RU"/>
            </w:rPr>
            <w:drawing>
              <wp:inline distT="0" distB="0" distL="0" distR="0">
                <wp:extent cx="1397000" cy="336550"/>
                <wp:effectExtent l="0" t="0" r="0" b="0"/>
                <wp:docPr id="29" name="Рисунок 0" descr="Эмблема IF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Эмблема IF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FE1D37" w:rsidRPr="00B94274" w:rsidRDefault="00FE1D37" w:rsidP="00FE1D37">
          <w:pPr>
            <w:pStyle w:val="a4"/>
            <w:spacing w:after="120"/>
            <w:rPr>
              <w:rFonts w:ascii="Times New Roman" w:hAnsi="Times New Roman"/>
            </w:rPr>
          </w:pPr>
        </w:p>
      </w:tc>
      <w:tc>
        <w:tcPr>
          <w:tcW w:w="4501" w:type="dxa"/>
        </w:tcPr>
        <w:p w:rsidR="00FE1D37" w:rsidRPr="00B94274" w:rsidRDefault="00FE1D37" w:rsidP="00FE1D37">
          <w:pPr>
            <w:pStyle w:val="a4"/>
            <w:spacing w:after="120"/>
            <w:jc w:val="right"/>
            <w:rPr>
              <w:rFonts w:ascii="Times New Roman" w:hAnsi="Times New Roman"/>
            </w:rPr>
          </w:pPr>
          <w:r w:rsidRPr="00B94274">
            <w:rPr>
              <w:rFonts w:ascii="Times New Roman" w:hAnsi="Times New Roman"/>
            </w:rPr>
            <w:t>Проект по энергоэффективности жилых домов в России</w:t>
          </w:r>
        </w:p>
      </w:tc>
    </w:tr>
  </w:tbl>
  <w:p w:rsidR="00FE1D37" w:rsidRDefault="00FE1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F"/>
    <w:rsid w:val="00020904"/>
    <w:rsid w:val="00140CC3"/>
    <w:rsid w:val="00227C99"/>
    <w:rsid w:val="00233CAA"/>
    <w:rsid w:val="0024702D"/>
    <w:rsid w:val="00353003"/>
    <w:rsid w:val="0036738C"/>
    <w:rsid w:val="003B6415"/>
    <w:rsid w:val="004118D6"/>
    <w:rsid w:val="00443E47"/>
    <w:rsid w:val="005416D2"/>
    <w:rsid w:val="00580CC2"/>
    <w:rsid w:val="00656ECD"/>
    <w:rsid w:val="00686E2B"/>
    <w:rsid w:val="007674CE"/>
    <w:rsid w:val="00804507"/>
    <w:rsid w:val="0086420F"/>
    <w:rsid w:val="009B6EF6"/>
    <w:rsid w:val="00A25699"/>
    <w:rsid w:val="00AD27FA"/>
    <w:rsid w:val="00AE2E28"/>
    <w:rsid w:val="00B54F53"/>
    <w:rsid w:val="00B6400C"/>
    <w:rsid w:val="00B705FA"/>
    <w:rsid w:val="00C253C3"/>
    <w:rsid w:val="00C55B8D"/>
    <w:rsid w:val="00D859E2"/>
    <w:rsid w:val="00E551AB"/>
    <w:rsid w:val="00E6730D"/>
    <w:rsid w:val="00EE1488"/>
    <w:rsid w:val="00EF00EB"/>
    <w:rsid w:val="00F2036D"/>
    <w:rsid w:val="00FE1D37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8C1A3-FA05-49A1-A160-9F5EAA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0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0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86E2B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6E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86E2B"/>
    <w:rPr>
      <w:rFonts w:ascii="Calibri" w:hAnsi="Calibri" w:cs="Times New Roman"/>
    </w:rPr>
  </w:style>
  <w:style w:type="table" w:styleId="a8">
    <w:name w:val="Table Grid"/>
    <w:basedOn w:val="a1"/>
    <w:uiPriority w:val="39"/>
    <w:rsid w:val="00FE1D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D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1D3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16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67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82722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42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45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86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99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963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335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478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14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2743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656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shishka@if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marov@if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GKH-1</dc:creator>
  <cp:keywords/>
  <cp:lastModifiedBy>Приемная</cp:lastModifiedBy>
  <cp:revision>2</cp:revision>
  <dcterms:created xsi:type="dcterms:W3CDTF">2020-04-17T09:21:00Z</dcterms:created>
  <dcterms:modified xsi:type="dcterms:W3CDTF">2020-04-17T09:21:00Z</dcterms:modified>
</cp:coreProperties>
</file>