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FF" w:rsidRPr="005A2BFF" w:rsidRDefault="005A2BFF" w:rsidP="005A2BFF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5A2BFF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5A2BFF" w:rsidRPr="005A2BFF" w:rsidRDefault="005A2BFF" w:rsidP="005A2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BFF" w:rsidRPr="005A2BFF" w:rsidRDefault="005A2BFF" w:rsidP="005A2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2B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2BFF">
        <w:rPr>
          <w:rFonts w:ascii="Times New Roman" w:hAnsi="Times New Roman" w:cs="Times New Roman"/>
          <w:sz w:val="28"/>
          <w:szCs w:val="28"/>
        </w:rPr>
        <w:t xml:space="preserve">  О  С  Т  А  Н  О  В  Л  Е  Н  И  Е</w:t>
      </w:r>
    </w:p>
    <w:p w:rsidR="005A2BFF" w:rsidRPr="005A2BFF" w:rsidRDefault="005A2BFF" w:rsidP="005A2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>АДМИНИСТРАЦИИ   НЮКСЕНСКОГО МУНИЦИПАЛЬНОГО ОКРУГА</w:t>
      </w:r>
    </w:p>
    <w:p w:rsidR="005A2BFF" w:rsidRPr="005A2BFF" w:rsidRDefault="005A2BFF" w:rsidP="005A2B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5A2BFF" w:rsidRPr="005A2BFF" w:rsidRDefault="005A2BFF" w:rsidP="005A2BFF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2766"/>
        <w:gridCol w:w="2221"/>
      </w:tblGrid>
      <w:tr w:rsidR="005A2BFF" w:rsidRPr="005A2BFF" w:rsidTr="005A2BFF">
        <w:trPr>
          <w:gridAfter w:val="1"/>
          <w:wAfter w:w="2221" w:type="dxa"/>
        </w:trPr>
        <w:tc>
          <w:tcPr>
            <w:tcW w:w="2766" w:type="dxa"/>
          </w:tcPr>
          <w:p w:rsidR="005A2BFF" w:rsidRPr="005A2BFF" w:rsidRDefault="005A2BFF" w:rsidP="005A2B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FF" w:rsidRPr="005A2BFF" w:rsidRDefault="005A2BFF" w:rsidP="005A2B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 xml:space="preserve">от                  № </w:t>
            </w:r>
          </w:p>
          <w:p w:rsidR="005A2BFF" w:rsidRPr="005A2BFF" w:rsidRDefault="005A2BFF" w:rsidP="005A2B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. Нюксеница</w:t>
            </w:r>
          </w:p>
        </w:tc>
      </w:tr>
      <w:tr w:rsidR="005A2BFF" w:rsidRPr="005A2BFF" w:rsidTr="005A2BFF">
        <w:trPr>
          <w:trHeight w:val="1238"/>
        </w:trPr>
        <w:tc>
          <w:tcPr>
            <w:tcW w:w="4987" w:type="dxa"/>
            <w:gridSpan w:val="2"/>
          </w:tcPr>
          <w:p w:rsidR="005A2BFF" w:rsidRPr="005A2BFF" w:rsidRDefault="005A2BFF" w:rsidP="005A2BFF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</w:p>
          <w:p w:rsidR="005A2BFF" w:rsidRPr="005A2BFF" w:rsidRDefault="005A2BFF" w:rsidP="005A2B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Об утверждении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административного регламента по</w:t>
            </w: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ABA">
              <w:rPr>
                <w:rFonts w:ascii="Times New Roman" w:hAnsi="Times New Roman" w:cs="Times New Roman"/>
                <w:sz w:val="28"/>
                <w:szCs w:val="28"/>
              </w:rPr>
      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160ABA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 </w:t>
            </w:r>
          </w:p>
        </w:tc>
      </w:tr>
    </w:tbl>
    <w:p w:rsidR="005A2BFF" w:rsidRPr="005A2BFF" w:rsidRDefault="005A2BFF" w:rsidP="005A2BF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2BFF" w:rsidRPr="005A2BFF" w:rsidRDefault="005A2BFF" w:rsidP="005A2BF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2BFF" w:rsidRPr="005A2BFF" w:rsidRDefault="005A2BFF" w:rsidP="005A2BFF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</w:p>
    <w:p w:rsidR="005A2BFF" w:rsidRPr="005A2BFF" w:rsidRDefault="005A2BFF" w:rsidP="005A2BF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2BFF" w:rsidRPr="005A2BFF" w:rsidRDefault="005A2BFF" w:rsidP="005A2BFF">
      <w:pPr>
        <w:pStyle w:val="ConsPlusNormal"/>
        <w:widowControl/>
        <w:numPr>
          <w:ilvl w:val="0"/>
          <w:numId w:val="1"/>
        </w:numPr>
        <w:spacing w:line="276" w:lineRule="auto"/>
        <w:ind w:firstLine="702"/>
        <w:jc w:val="both"/>
        <w:rPr>
          <w:sz w:val="28"/>
          <w:szCs w:val="28"/>
        </w:rPr>
      </w:pPr>
      <w:r w:rsidRPr="005A2BFF">
        <w:rPr>
          <w:sz w:val="28"/>
          <w:szCs w:val="28"/>
        </w:rPr>
        <w:t xml:space="preserve">Утвердить Административный регламент предоставления муниципальной услуги по </w:t>
      </w:r>
      <w:r w:rsidRPr="00160ABA">
        <w:rPr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60ABA">
        <w:rPr>
          <w:rFonts w:eastAsia="Times New Roman"/>
          <w:color w:val="000000"/>
          <w:spacing w:val="-4"/>
          <w:sz w:val="28"/>
          <w:szCs w:val="28"/>
        </w:rPr>
        <w:t> </w:t>
      </w:r>
      <w:r w:rsidRPr="005A2BFF">
        <w:rPr>
          <w:sz w:val="28"/>
          <w:szCs w:val="28"/>
        </w:rPr>
        <w:t xml:space="preserve"> (прилагается).</w:t>
      </w:r>
    </w:p>
    <w:p w:rsidR="005A2BFF" w:rsidRPr="005A2BFF" w:rsidRDefault="005A2BFF" w:rsidP="005A2BF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ab/>
        <w:t>2. Настоящее постановление подлежит официальному опубликованию и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5A2BFF" w:rsidRPr="005A2BFF" w:rsidRDefault="005A2BFF" w:rsidP="005A2B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BFF" w:rsidRPr="005A2BFF" w:rsidRDefault="005A2BFF" w:rsidP="005A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BFF" w:rsidRPr="005A2BFF" w:rsidRDefault="005A2BFF" w:rsidP="005A2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                  С.К. Мазаев</w:t>
      </w:r>
    </w:p>
    <w:p w:rsidR="005A2BFF" w:rsidRPr="00E43F27" w:rsidRDefault="005A2BFF" w:rsidP="005A2BFF">
      <w:pPr>
        <w:pStyle w:val="ad"/>
      </w:pPr>
    </w:p>
    <w:p w:rsidR="005A2BFF" w:rsidRDefault="005A2BFF" w:rsidP="005A2BFF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</w:p>
    <w:p w:rsidR="005A2BFF" w:rsidRDefault="005A2BFF" w:rsidP="005A2BFF">
      <w:pPr>
        <w:pStyle w:val="ConsPlusNormal"/>
        <w:jc w:val="center"/>
        <w:rPr>
          <w:b/>
          <w:szCs w:val="28"/>
        </w:rPr>
      </w:pPr>
    </w:p>
    <w:p w:rsidR="005A2BFF" w:rsidRDefault="005A2BFF" w:rsidP="005A2BFF">
      <w:pPr>
        <w:pStyle w:val="ConsPlusNormal"/>
        <w:jc w:val="center"/>
        <w:rPr>
          <w:b/>
          <w:szCs w:val="28"/>
        </w:rPr>
      </w:pPr>
    </w:p>
    <w:p w:rsidR="005A2BFF" w:rsidRDefault="005A2BFF" w:rsidP="005A2BFF">
      <w:pPr>
        <w:pStyle w:val="ConsPlusNormal"/>
        <w:jc w:val="center"/>
        <w:rPr>
          <w:b/>
          <w:szCs w:val="28"/>
        </w:rPr>
      </w:pPr>
    </w:p>
    <w:p w:rsidR="005A2BFF" w:rsidRDefault="005A2BFF" w:rsidP="005A2BFF">
      <w:pPr>
        <w:pStyle w:val="ConsPlusNormal"/>
        <w:jc w:val="center"/>
        <w:rPr>
          <w:b/>
          <w:szCs w:val="28"/>
        </w:rPr>
      </w:pPr>
    </w:p>
    <w:p w:rsidR="005A2BFF" w:rsidRDefault="005A2BFF" w:rsidP="005A2BFF">
      <w:pPr>
        <w:pStyle w:val="ConsPlusNormal"/>
        <w:jc w:val="center"/>
        <w:rPr>
          <w:b/>
          <w:szCs w:val="28"/>
        </w:rPr>
      </w:pPr>
    </w:p>
    <w:p w:rsidR="005A2BFF" w:rsidRDefault="005A2BFF" w:rsidP="005A2BFF">
      <w:pPr>
        <w:pStyle w:val="ConsPlusNormal"/>
        <w:jc w:val="center"/>
        <w:rPr>
          <w:b/>
          <w:szCs w:val="28"/>
        </w:rPr>
      </w:pPr>
    </w:p>
    <w:p w:rsidR="005A2BFF" w:rsidRDefault="005A2BFF" w:rsidP="005A2BFF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</w:p>
    <w:p w:rsidR="005A2BFF" w:rsidRDefault="005A2BFF" w:rsidP="005A2BFF">
      <w:pPr>
        <w:pStyle w:val="ConsPlusNormal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</w:p>
    <w:p w:rsidR="005A2BFF" w:rsidRDefault="005A2BFF" w:rsidP="005A2BFF">
      <w:pPr>
        <w:pStyle w:val="ConsPlusNormal"/>
        <w:jc w:val="center"/>
        <w:rPr>
          <w:sz w:val="28"/>
          <w:szCs w:val="28"/>
        </w:rPr>
      </w:pPr>
      <w:r w:rsidRPr="00E455D6">
        <w:rPr>
          <w:sz w:val="28"/>
          <w:szCs w:val="28"/>
        </w:rPr>
        <w:t xml:space="preserve">                                             </w:t>
      </w:r>
    </w:p>
    <w:p w:rsidR="005A2BFF" w:rsidRDefault="005A2BFF" w:rsidP="005A2BF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E455D6">
        <w:rPr>
          <w:sz w:val="28"/>
          <w:szCs w:val="28"/>
        </w:rPr>
        <w:t xml:space="preserve"> </w:t>
      </w:r>
    </w:p>
    <w:p w:rsidR="005A2BFF" w:rsidRPr="00E455D6" w:rsidRDefault="005A2BFF" w:rsidP="005A2BFF">
      <w:pPr>
        <w:pStyle w:val="ConsPlusNormal"/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Pr="00E455D6">
        <w:rPr>
          <w:sz w:val="28"/>
          <w:szCs w:val="28"/>
        </w:rPr>
        <w:t xml:space="preserve">УТВЕРЖДЕН </w:t>
      </w:r>
    </w:p>
    <w:p w:rsidR="005A2BFF" w:rsidRPr="00E455D6" w:rsidRDefault="005A2BFF" w:rsidP="005A2BFF">
      <w:pPr>
        <w:pStyle w:val="ConsPlusNormal"/>
        <w:ind w:left="6096"/>
        <w:rPr>
          <w:bCs/>
          <w:sz w:val="28"/>
          <w:szCs w:val="28"/>
        </w:rPr>
      </w:pPr>
      <w:r w:rsidRPr="00E455D6">
        <w:rPr>
          <w:sz w:val="28"/>
          <w:szCs w:val="28"/>
        </w:rPr>
        <w:t xml:space="preserve">постановлением администрации Нюксенского муниципального округа </w:t>
      </w:r>
    </w:p>
    <w:p w:rsidR="005A2BFF" w:rsidRPr="00E455D6" w:rsidRDefault="005A2BFF" w:rsidP="005A2BFF">
      <w:pPr>
        <w:pStyle w:val="ConsPlusNormal"/>
        <w:rPr>
          <w:bCs/>
          <w:sz w:val="28"/>
          <w:szCs w:val="28"/>
        </w:rPr>
      </w:pPr>
      <w:r w:rsidRPr="00E455D6">
        <w:rPr>
          <w:sz w:val="28"/>
          <w:szCs w:val="28"/>
        </w:rPr>
        <w:t xml:space="preserve">                                                                                       от                   2022 № </w:t>
      </w:r>
    </w:p>
    <w:p w:rsidR="005A2BFF" w:rsidRDefault="005A2BF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5A2BF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E7BE5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дминистративный регламент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  <w:r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 по  </w:t>
      </w:r>
      <w:r w:rsidR="008C5178" w:rsidRPr="00160ABA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</w:p>
    <w:p w:rsidR="00CE30AF" w:rsidRPr="00160ABA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 положения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30AF" w:rsidRPr="00160ABA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1.1. Административный регламент предоставления муниципальной услуги </w:t>
      </w:r>
      <w:r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 </w:t>
      </w:r>
      <w:r w:rsidR="008C5178" w:rsidRPr="00160ABA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C5178"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0AF" w:rsidRPr="00160ABA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CE30AF" w:rsidRPr="00160ABA">
        <w:rPr>
          <w:rFonts w:ascii="Times New Roman" w:hAnsi="Times New Roman" w:cs="Times New Roman"/>
          <w:sz w:val="28"/>
          <w:szCs w:val="28"/>
        </w:rPr>
        <w:sym w:font="Symbol" w:char="F02D"/>
      </w:r>
      <w:r w:rsidR="00CE30AF" w:rsidRPr="00160AB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CE30AF" w:rsidRPr="00160ABA" w:rsidRDefault="009E7BE5" w:rsidP="00CE30A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 w:rsidR="008C5178" w:rsidRPr="00160ABA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0AF" w:rsidRPr="00160ABA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5A2BFF" w:rsidRPr="005A2BFF" w:rsidRDefault="009E7BE5" w:rsidP="005A2B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="005A2BFF" w:rsidRPr="005A2BFF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Нюксенского муниципального округа, </w:t>
      </w:r>
      <w:r w:rsidR="005A2BFF" w:rsidRPr="005A2BFF">
        <w:rPr>
          <w:rFonts w:ascii="Times New Roman" w:hAnsi="Times New Roman" w:cs="Times New Roman"/>
          <w:iCs/>
          <w:sz w:val="28"/>
          <w:szCs w:val="28"/>
        </w:rPr>
        <w:t>его структурных подразделений (далее – Администрация округа)</w:t>
      </w:r>
      <w:r w:rsidR="005A2BFF" w:rsidRPr="005A2BFF">
        <w:rPr>
          <w:rFonts w:ascii="Times New Roman" w:hAnsi="Times New Roman" w:cs="Times New Roman"/>
          <w:sz w:val="28"/>
          <w:szCs w:val="28"/>
        </w:rPr>
        <w:t>:</w:t>
      </w:r>
    </w:p>
    <w:p w:rsidR="005A2BFF" w:rsidRPr="005A2BFF" w:rsidRDefault="005A2BFF" w:rsidP="005A2BF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>почтовый адрес Администрации округа: 161380 с. Нюксеница, ул. Советская, 13.</w:t>
      </w:r>
    </w:p>
    <w:p w:rsidR="005A2BFF" w:rsidRPr="005A2BFF" w:rsidRDefault="005A2BFF" w:rsidP="005A2BF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5A2BFF" w:rsidRPr="005A2BFF" w:rsidTr="005A2BFF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eastAsia="Calibri" w:hAnsi="Times New Roman" w:cs="Times New Roman"/>
                <w:sz w:val="28"/>
                <w:szCs w:val="28"/>
              </w:rPr>
              <w:t>9.00-17.00</w:t>
            </w:r>
          </w:p>
          <w:p w:rsidR="005A2BFF" w:rsidRPr="005A2BFF" w:rsidRDefault="005A2BFF" w:rsidP="005A2BFF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eastAsia="Calibri" w:hAnsi="Times New Roman" w:cs="Times New Roman"/>
                <w:sz w:val="28"/>
                <w:szCs w:val="28"/>
              </w:rPr>
              <w:t>Обед 13-14</w:t>
            </w:r>
          </w:p>
        </w:tc>
      </w:tr>
      <w:tr w:rsidR="005A2BFF" w:rsidRPr="005A2BFF" w:rsidTr="005A2BFF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BFF" w:rsidRPr="005A2BFF" w:rsidTr="005A2BFF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BFF" w:rsidRPr="005A2BFF" w:rsidTr="005A2BFF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2BFF" w:rsidRPr="005A2BFF" w:rsidTr="005A2BFF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eastAsia="Calibri" w:hAnsi="Times New Roman" w:cs="Times New Roman"/>
                <w:sz w:val="28"/>
                <w:szCs w:val="28"/>
              </w:rPr>
              <w:t>9.00-17.00</w:t>
            </w:r>
          </w:p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eastAsia="Calibri" w:hAnsi="Times New Roman" w:cs="Times New Roman"/>
                <w:sz w:val="28"/>
                <w:szCs w:val="28"/>
              </w:rPr>
              <w:t>Обед 13-14</w:t>
            </w:r>
          </w:p>
        </w:tc>
      </w:tr>
      <w:tr w:rsidR="005A2BFF" w:rsidRPr="005A2BFF" w:rsidTr="005A2BFF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A2BFF" w:rsidRPr="005A2BFF" w:rsidTr="005A2BFF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eastAsia="Calibri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A2BFF" w:rsidRPr="005A2BFF" w:rsidTr="005A2BFF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eastAsia="Calibri" w:hAnsi="Times New Roman" w:cs="Times New Roman"/>
                <w:sz w:val="28"/>
                <w:szCs w:val="28"/>
              </w:rPr>
              <w:t>9.00-16.00</w:t>
            </w:r>
          </w:p>
          <w:p w:rsidR="005A2BFF" w:rsidRPr="005A2BFF" w:rsidRDefault="005A2BFF" w:rsidP="005A2BFF">
            <w:pPr>
              <w:widowControl w:val="0"/>
              <w:spacing w:after="0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eastAsia="Calibri" w:hAnsi="Times New Roman" w:cs="Times New Roman"/>
                <w:sz w:val="28"/>
                <w:szCs w:val="28"/>
              </w:rPr>
              <w:t>Обед 13-14</w:t>
            </w:r>
          </w:p>
        </w:tc>
      </w:tr>
    </w:tbl>
    <w:p w:rsidR="005A2BFF" w:rsidRPr="005A2BFF" w:rsidRDefault="005A2BFF" w:rsidP="005A2BF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A2BFF" w:rsidRPr="005A2BFF" w:rsidRDefault="005A2BFF" w:rsidP="005A2BF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A2BFF" w:rsidRPr="005A2BFF" w:rsidRDefault="005A2BFF" w:rsidP="005A2BF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5A2BFF" w:rsidRPr="005A2BFF" w:rsidTr="005A2BFF">
        <w:trPr>
          <w:trHeight w:val="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 xml:space="preserve"> Не приемный день</w:t>
            </w:r>
          </w:p>
        </w:tc>
      </w:tr>
      <w:tr w:rsidR="005A2BFF" w:rsidRPr="005A2BFF" w:rsidTr="005A2BFF">
        <w:trPr>
          <w:trHeight w:val="1"/>
        </w:trPr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BFF" w:rsidRPr="005A2BFF" w:rsidRDefault="005A2BFF" w:rsidP="005A2BFF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9.00. – 17.00.</w:t>
            </w:r>
          </w:p>
          <w:p w:rsidR="005A2BFF" w:rsidRPr="005A2BFF" w:rsidRDefault="005A2BFF" w:rsidP="005A2BFF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 xml:space="preserve">        обед с 13.00. до 14.00.</w:t>
            </w:r>
          </w:p>
          <w:p w:rsidR="005A2BFF" w:rsidRPr="005A2BFF" w:rsidRDefault="005A2BFF" w:rsidP="005A2BFF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FF" w:rsidRPr="005A2BFF" w:rsidTr="005A2B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FF" w:rsidRPr="005A2BFF" w:rsidTr="005A2B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FF" w:rsidRPr="005A2BFF" w:rsidTr="005A2B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Не приемный день</w:t>
            </w:r>
          </w:p>
        </w:tc>
      </w:tr>
      <w:tr w:rsidR="005A2BFF" w:rsidRPr="005A2BFF" w:rsidTr="005A2B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A2BFF" w:rsidRPr="005A2BFF" w:rsidTr="005A2B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FF" w:rsidRPr="005A2BFF" w:rsidTr="005A2BF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BFF" w:rsidRPr="005A2BFF" w:rsidRDefault="005A2BFF" w:rsidP="005A2BFF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9.00. – 16.00.</w:t>
            </w:r>
          </w:p>
          <w:p w:rsidR="005A2BFF" w:rsidRPr="005A2BFF" w:rsidRDefault="005A2BFF" w:rsidP="005A2BFF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обед с 13.00. до 14.00.</w:t>
            </w:r>
          </w:p>
        </w:tc>
      </w:tr>
    </w:tbl>
    <w:p w:rsidR="005A2BFF" w:rsidRPr="005A2BFF" w:rsidRDefault="005A2BFF" w:rsidP="005A2B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>График личного приема Главы округа: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661"/>
      </w:tblGrid>
      <w:tr w:rsidR="005A2BFF" w:rsidRPr="005A2BFF" w:rsidTr="005A2BFF">
        <w:trPr>
          <w:trHeight w:val="557"/>
        </w:trPr>
        <w:tc>
          <w:tcPr>
            <w:tcW w:w="4837" w:type="dxa"/>
          </w:tcPr>
          <w:p w:rsidR="005A2BFF" w:rsidRPr="005A2BFF" w:rsidRDefault="005A2BFF" w:rsidP="005A2BF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61" w:type="dxa"/>
          </w:tcPr>
          <w:p w:rsidR="005A2BFF" w:rsidRPr="005A2BFF" w:rsidRDefault="005A2BFF" w:rsidP="005A2B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BFF">
              <w:rPr>
                <w:rFonts w:ascii="Times New Roman" w:hAnsi="Times New Roman" w:cs="Times New Roman"/>
                <w:sz w:val="28"/>
                <w:szCs w:val="28"/>
              </w:rPr>
              <w:t>с 11.00. до 17.00.</w:t>
            </w:r>
          </w:p>
        </w:tc>
      </w:tr>
    </w:tbl>
    <w:p w:rsidR="005A2BFF" w:rsidRPr="005A2BFF" w:rsidRDefault="005A2BFF" w:rsidP="005A2B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8 817 47 2-82-17.</w:t>
      </w:r>
    </w:p>
    <w:p w:rsidR="005A2BFF" w:rsidRPr="005A2BFF" w:rsidRDefault="005A2BFF" w:rsidP="005A2B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округа в информационно-телекоммуникационной сети «Интернет» (далее – сайт в сети «Интернет»): </w:t>
      </w:r>
      <w:r w:rsidRPr="005A2BF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A2BF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A2BFF">
        <w:rPr>
          <w:rFonts w:ascii="Times New Roman" w:hAnsi="Times New Roman" w:cs="Times New Roman"/>
          <w:sz w:val="28"/>
          <w:szCs w:val="28"/>
          <w:lang w:val="en-US"/>
        </w:rPr>
        <w:t>nyuksenitsa</w:t>
      </w:r>
      <w:proofErr w:type="spellEnd"/>
      <w:r w:rsidRPr="005A2BF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2BF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2BFF">
        <w:rPr>
          <w:rFonts w:ascii="Times New Roman" w:hAnsi="Times New Roman" w:cs="Times New Roman"/>
          <w:sz w:val="28"/>
          <w:szCs w:val="28"/>
        </w:rPr>
        <w:t>/.</w:t>
      </w:r>
    </w:p>
    <w:p w:rsidR="005A2BFF" w:rsidRPr="005A2BFF" w:rsidRDefault="005A2BFF" w:rsidP="005A2BF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5A2BFF">
          <w:rPr>
            <w:rStyle w:val="ac"/>
            <w:rFonts w:ascii="Times New Roman" w:hAnsi="Times New Roman"/>
            <w:sz w:val="28"/>
            <w:szCs w:val="28"/>
          </w:rPr>
          <w:t>www.gosuslugi.</w:t>
        </w:r>
        <w:proofErr w:type="spellStart"/>
        <w:r w:rsidRPr="005A2BFF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A2BFF">
        <w:rPr>
          <w:rFonts w:ascii="Times New Roman" w:hAnsi="Times New Roman" w:cs="Times New Roman"/>
          <w:sz w:val="28"/>
          <w:szCs w:val="28"/>
        </w:rPr>
        <w:t>.</w:t>
      </w:r>
    </w:p>
    <w:p w:rsidR="005A2BFF" w:rsidRPr="005A2BFF" w:rsidRDefault="005A2BFF" w:rsidP="005A2B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5A2BFF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5A2BFF">
          <w:rPr>
            <w:rStyle w:val="ac"/>
            <w:rFonts w:ascii="Times New Roman" w:hAnsi="Times New Roman"/>
            <w:sz w:val="28"/>
            <w:szCs w:val="28"/>
          </w:rPr>
          <w:t>://gosuslugi35.ru.</w:t>
        </w:r>
      </w:hyperlink>
    </w:p>
    <w:p w:rsidR="005A2BFF" w:rsidRPr="005A2BFF" w:rsidRDefault="005A2BFF" w:rsidP="005A2BFF">
      <w:pPr>
        <w:suppressAutoHyphens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2BFF">
        <w:rPr>
          <w:rFonts w:ascii="Times New Roman" w:hAnsi="Times New Roman" w:cs="Times New Roman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6 к административному регламенту.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 телефонной связи;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электронной почты,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 почтовой связи;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в помещениях </w:t>
      </w:r>
      <w:r w:rsidR="005A2BFF" w:rsidRPr="005A2B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округа</w:t>
      </w:r>
      <w:r w:rsidRP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МФЦ;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 сети «Интернет»: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 </w:t>
      </w:r>
      <w:r w:rsidR="005A2BFF" w:rsidRPr="005A2B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Администрации округа</w:t>
      </w:r>
      <w:r w:rsidRPr="005A2B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МФЦ</w:t>
      </w:r>
      <w:r w:rsidRP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Едином портале;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Региональном портале.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 Порядок информирования о предоставлении муниципальной услуги.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нахождения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его структурных подразделений (при наличии), МФЦ;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лица и муниципальные служащие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уполномоченные предоставлять муниципальную услугу и номера контактных телефонов;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работы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МФЦ;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сайта в сети «Интернет»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МФЦ;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МФЦ;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ход предоставления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административные процедуры предоставления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предоставления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 формы </w:t>
      </w:r>
      <w:proofErr w:type="gramStart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предоставлением 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отказа в предоставлении 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</w:t>
      </w:r>
      <w:r w:rsidR="000902FA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иная информация о деятельности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1.5.2. Информирование (консультирование) осуществляется специалистами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(МФЦ), ответственными за информирование, при обращении заявителей за информацией лично, по телефону, посредством почты или электронной почты.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 обращении заявителей за информацией лично или по телефону.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сроку должен быть подготовлен ответ по вопросам заявителей, в 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МФЦ, принявший телефонный звонок, разъясняет заявителю право обратиться с письменным обращением в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требования к оформлению обращения.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</w:t>
      </w:r>
      <w:r w:rsidR="000902FA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 наличии)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занимаемую должность и наименование структурного подразделения (при наличии)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 письменного ответа на обращение заинтересованного лица в соответствии с законодательством о порядке</w:t>
      </w:r>
      <w:proofErr w:type="gramEnd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рассмотрения обращений граждан.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на обращение предоставляется в простой, четкой форме с указанием фамилии, имени, отчества, номера телефона исполнителя, подписывается </w:t>
      </w:r>
      <w:r w:rsidR="008A4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муниципального округа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направляется способом, позволяющим подтвердить факт и дату направления.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</w:t>
      </w:r>
      <w:r w:rsidR="008A4DE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муниципального округа</w:t>
      </w:r>
      <w:proofErr w:type="gramStart"/>
      <w:r w:rsidR="008A4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 средствах массовой информации;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 в сети  «Интернет» 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МФЦ;</w:t>
      </w:r>
    </w:p>
    <w:p w:rsidR="00CE30AF" w:rsidRPr="00160ABA" w:rsidRDefault="00CE30AF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Едином портале;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на Региональном портале;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информационных стендах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МФЦ.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II. Стандарт предоставления муниципальной услуги</w:t>
      </w:r>
    </w:p>
    <w:p w:rsidR="009E7BE5" w:rsidRPr="008A4DEC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8A4DEC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2.1. Наименование муниципальной услуги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 </w:t>
      </w:r>
    </w:p>
    <w:p w:rsidR="009E7BE5" w:rsidRPr="00160ABA" w:rsidRDefault="008C5178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E7BE5"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E7BE5" w:rsidRPr="008A4DEC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8A4DEC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2.2. Наименование органа местного самоуправления,</w:t>
      </w:r>
    </w:p>
    <w:p w:rsidR="009E7BE5" w:rsidRPr="008A4DEC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A4D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предоставляющего</w:t>
      </w:r>
      <w:proofErr w:type="gramEnd"/>
      <w:r w:rsidRPr="008A4D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муниципальную услугу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2.2.1. </w:t>
      </w:r>
      <w:r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9E7BE5" w:rsidRPr="008A4DEC" w:rsidRDefault="008A4DEC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Администрацией Нюксенского муниципального округа</w:t>
      </w:r>
      <w:r w:rsidR="009E7BE5" w:rsidRPr="008A4D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МФЦ по месту жительства (по месту нахождения) заявителя - в части</w:t>
      </w: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A4D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 части приема и (или) выдачи документов на предоставление муниципальной услуги)</w:t>
      </w:r>
      <w:r w:rsidR="008A4DEC" w:rsidRPr="008A4D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7BE5" w:rsidRPr="00233E30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2.2.2. 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233E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8A4DEC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4DEC">
        <w:rPr>
          <w:rFonts w:ascii="Times New Roman" w:eastAsia="Times New Roman" w:hAnsi="Times New Roman" w:cs="Times New Roman"/>
          <w:iCs/>
          <w:sz w:val="28"/>
          <w:szCs w:val="28"/>
        </w:rPr>
        <w:t>2.3. Результат предоставления муниципальной услуги</w:t>
      </w:r>
    </w:p>
    <w:p w:rsidR="00CE30AF" w:rsidRPr="00160ABA" w:rsidRDefault="00CE30AF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E7BE5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муниципальной услуги является:</w:t>
      </w:r>
    </w:p>
    <w:p w:rsidR="00AD41F4" w:rsidRPr="00160ABA" w:rsidRDefault="00AD41F4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в части </w:t>
      </w:r>
      <w:r w:rsidRPr="00160ABA">
        <w:rPr>
          <w:rFonts w:ascii="Times New Roman" w:hAnsi="Times New Roman" w:cs="Times New Roman"/>
          <w:sz w:val="28"/>
          <w:szCs w:val="28"/>
        </w:rPr>
        <w:t>планируемо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5178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1) направление (выдача) зая</w:t>
      </w:r>
      <w:r w:rsidR="00E42FE1" w:rsidRPr="00160ABA">
        <w:rPr>
          <w:rFonts w:ascii="Times New Roman" w:hAnsi="Times New Roman" w:cs="Times New Roman"/>
          <w:sz w:val="28"/>
          <w:szCs w:val="28"/>
        </w:rPr>
        <w:t>вителю информационного письма о размещении</w:t>
      </w:r>
      <w:r w:rsidRPr="00160ABA">
        <w:rPr>
          <w:rFonts w:ascii="Times New Roman" w:hAnsi="Times New Roman" w:cs="Times New Roman"/>
          <w:sz w:val="28"/>
          <w:szCs w:val="28"/>
        </w:rPr>
        <w:t xml:space="preserve"> уведомления о планируемом сносе объекта капитального строительства в информационн</w:t>
      </w:r>
      <w:r w:rsidR="00E42FE1" w:rsidRPr="00160ABA">
        <w:rPr>
          <w:rFonts w:ascii="Times New Roman" w:hAnsi="Times New Roman" w:cs="Times New Roman"/>
          <w:sz w:val="28"/>
          <w:szCs w:val="28"/>
        </w:rPr>
        <w:t>ой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42FE1" w:rsidRPr="00160ABA">
        <w:rPr>
          <w:rFonts w:ascii="Times New Roman" w:hAnsi="Times New Roman" w:cs="Times New Roman"/>
          <w:sz w:val="28"/>
          <w:szCs w:val="28"/>
        </w:rPr>
        <w:t>е</w:t>
      </w:r>
      <w:r w:rsidRPr="00160ABA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деятельности;</w:t>
      </w:r>
    </w:p>
    <w:p w:rsidR="008C5178" w:rsidRDefault="008C5178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2) направление (выдача) заявителю уведомления об отказе в</w:t>
      </w:r>
      <w:r w:rsidR="00BB628C">
        <w:rPr>
          <w:rFonts w:ascii="Times New Roman" w:hAnsi="Times New Roman" w:cs="Times New Roman"/>
          <w:sz w:val="28"/>
          <w:szCs w:val="28"/>
        </w:rPr>
        <w:t xml:space="preserve"> </w:t>
      </w:r>
      <w:r w:rsidR="00BB628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снос</w:t>
      </w:r>
      <w:r w:rsidR="00AD41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628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.</w:t>
      </w:r>
    </w:p>
    <w:p w:rsidR="00AD41F4" w:rsidRDefault="00AD41F4" w:rsidP="00AD4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в части завершенного сноса направление </w:t>
      </w:r>
      <w:r w:rsidRPr="00160ABA">
        <w:rPr>
          <w:rFonts w:ascii="Times New Roman" w:hAnsi="Times New Roman" w:cs="Times New Roman"/>
          <w:sz w:val="28"/>
          <w:szCs w:val="28"/>
        </w:rPr>
        <w:t xml:space="preserve">(выдача) заявителю информационного письма о размещении уведомления о </w:t>
      </w:r>
      <w:r>
        <w:rPr>
          <w:rFonts w:ascii="Times New Roman" w:hAnsi="Times New Roman" w:cs="Times New Roman"/>
          <w:sz w:val="28"/>
          <w:szCs w:val="28"/>
        </w:rPr>
        <w:t>завершенном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сносе объекта капитального строительства в информационной системе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деятельности.</w:t>
      </w:r>
    </w:p>
    <w:p w:rsidR="00CE30AF" w:rsidRPr="00160ABA" w:rsidRDefault="00CE30AF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8A4DEC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2.4. Срок предоставления муниципальной услуги</w:t>
      </w:r>
    </w:p>
    <w:p w:rsidR="00CE30AF" w:rsidRPr="00160ABA" w:rsidRDefault="00CE30AF" w:rsidP="00CE30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ftnref3"/>
      <w:bookmarkStart w:id="1" w:name="_ftnref4"/>
    </w:p>
    <w:p w:rsidR="008C5178" w:rsidRPr="00160ABA" w:rsidRDefault="008C5178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0ABA">
        <w:rPr>
          <w:rFonts w:ascii="Times New Roman" w:hAnsi="Times New Roman" w:cs="Times New Roman"/>
          <w:sz w:val="28"/>
          <w:szCs w:val="28"/>
        </w:rPr>
        <w:t xml:space="preserve">не более 7 (семи) рабочих дней со дня подачи заявителем уведомления и </w:t>
      </w:r>
      <w:r w:rsidR="002F1AE0" w:rsidRPr="00160ABA">
        <w:rPr>
          <w:rFonts w:ascii="Times New Roman" w:hAnsi="Times New Roman" w:cs="Times New Roman"/>
          <w:sz w:val="28"/>
          <w:szCs w:val="28"/>
        </w:rPr>
        <w:t>прилагаемых</w:t>
      </w:r>
      <w:r w:rsidRPr="00160ABA">
        <w:rPr>
          <w:rFonts w:ascii="Times New Roman" w:hAnsi="Times New Roman" w:cs="Times New Roman"/>
          <w:sz w:val="28"/>
          <w:szCs w:val="28"/>
        </w:rPr>
        <w:t xml:space="preserve"> документов.</w:t>
      </w:r>
      <w:r w:rsidR="008A79C3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:rsidR="008C5178" w:rsidRPr="00160ABA" w:rsidRDefault="008C5178" w:rsidP="00CE30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366" w:rsidRPr="008A4DEC" w:rsidRDefault="009E7BE5" w:rsidP="006C53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Правовые основания для предоставления </w:t>
      </w:r>
    </w:p>
    <w:p w:rsidR="009E7BE5" w:rsidRDefault="009E7BE5" w:rsidP="008A4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</w:rPr>
      </w:pPr>
      <w:r w:rsidRPr="008A4DE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bookmarkEnd w:id="0"/>
    </w:p>
    <w:p w:rsidR="008A4DEC" w:rsidRPr="00160ABA" w:rsidRDefault="008A4DEC" w:rsidP="008A4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 осуществляется в соответствии c:</w:t>
      </w:r>
    </w:p>
    <w:p w:rsidR="008C5178" w:rsidRPr="00160ABA" w:rsidRDefault="008C5178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color w:val="000000"/>
          <w:sz w:val="28"/>
          <w:szCs w:val="28"/>
        </w:rPr>
        <w:t>Градостроительным кодексом Российской Федерации;</w:t>
      </w:r>
    </w:p>
    <w:p w:rsidR="002F1AE0" w:rsidRPr="00160ABA" w:rsidRDefault="002F1AE0" w:rsidP="004E5F0D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Федеральным законом от 24 ноября 1995 года № 181-ФЗ «О </w:t>
      </w:r>
      <w:r w:rsidRPr="00160ABA">
        <w:rPr>
          <w:sz w:val="28"/>
          <w:szCs w:val="28"/>
        </w:rPr>
        <w:lastRenderedPageBreak/>
        <w:t xml:space="preserve">социальной защите инвалидов в Российской Федерации»; 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4E5F0D" w:rsidRPr="00160ABA" w:rsidRDefault="004E5F0D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color w:val="000000"/>
          <w:sz w:val="28"/>
          <w:szCs w:val="28"/>
        </w:rPr>
        <w:t>Федеральны</w:t>
      </w:r>
      <w:r w:rsidR="00367F8E" w:rsidRPr="00160ABA">
        <w:rPr>
          <w:color w:val="000000"/>
          <w:sz w:val="28"/>
          <w:szCs w:val="28"/>
        </w:rPr>
        <w:t>м</w:t>
      </w:r>
      <w:r w:rsidRPr="00160ABA">
        <w:rPr>
          <w:color w:val="000000"/>
          <w:sz w:val="28"/>
          <w:szCs w:val="28"/>
        </w:rPr>
        <w:t xml:space="preserve"> закон</w:t>
      </w:r>
      <w:r w:rsidR="00367F8E" w:rsidRPr="00160ABA">
        <w:rPr>
          <w:color w:val="000000"/>
          <w:sz w:val="28"/>
          <w:szCs w:val="28"/>
        </w:rPr>
        <w:t>ом</w:t>
      </w:r>
      <w:r w:rsidRPr="00160ABA">
        <w:rPr>
          <w:color w:val="000000"/>
          <w:sz w:val="28"/>
          <w:szCs w:val="28"/>
        </w:rPr>
        <w:t xml:space="preserve"> от 29 декабря 2004 года № 191-ФЗ «О введении в действие Градостроительного кодекса Российской Федерации»;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F1AE0" w:rsidRPr="00160ABA" w:rsidRDefault="002F1AE0" w:rsidP="004E5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Федеральным законом от 6 апреля 2011 года № 63-ФЗ «Об электронной подписи»;</w:t>
      </w:r>
      <w:r w:rsidRPr="00160A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67AC1" w:rsidRPr="00160ABA" w:rsidRDefault="00267AC1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sz w:val="28"/>
          <w:szCs w:val="28"/>
        </w:rPr>
        <w:t>постановление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8C5178" w:rsidRPr="00160ABA" w:rsidRDefault="004E5F0D" w:rsidP="004E5F0D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0ABA">
        <w:rPr>
          <w:color w:val="000000"/>
          <w:sz w:val="28"/>
          <w:szCs w:val="28"/>
        </w:rPr>
        <w:t>п</w:t>
      </w:r>
      <w:r w:rsidR="008C5178" w:rsidRPr="00160ABA">
        <w:rPr>
          <w:color w:val="000000"/>
          <w:sz w:val="28"/>
          <w:szCs w:val="28"/>
        </w:rPr>
        <w:t>риказ</w:t>
      </w:r>
      <w:r w:rsidRPr="00160ABA">
        <w:rPr>
          <w:color w:val="000000"/>
          <w:sz w:val="28"/>
          <w:szCs w:val="28"/>
        </w:rPr>
        <w:t>ом</w:t>
      </w:r>
      <w:r w:rsidR="008C5178" w:rsidRPr="00160ABA">
        <w:rPr>
          <w:color w:val="000000"/>
          <w:sz w:val="28"/>
          <w:szCs w:val="28"/>
        </w:rPr>
        <w:t xml:space="preserve"> Минстроя России от 24</w:t>
      </w:r>
      <w:r w:rsidRPr="00160ABA">
        <w:rPr>
          <w:color w:val="000000"/>
          <w:sz w:val="28"/>
          <w:szCs w:val="28"/>
        </w:rPr>
        <w:t xml:space="preserve"> января </w:t>
      </w:r>
      <w:r w:rsidR="008C5178" w:rsidRPr="00160ABA">
        <w:rPr>
          <w:color w:val="000000"/>
          <w:sz w:val="28"/>
          <w:szCs w:val="28"/>
        </w:rPr>
        <w:t>2019</w:t>
      </w:r>
      <w:r w:rsidRPr="00160ABA">
        <w:rPr>
          <w:color w:val="000000"/>
          <w:sz w:val="28"/>
          <w:szCs w:val="28"/>
        </w:rPr>
        <w:t xml:space="preserve"> года</w:t>
      </w:r>
      <w:r w:rsidR="008C5178" w:rsidRPr="00160ABA">
        <w:rPr>
          <w:color w:val="000000"/>
          <w:sz w:val="28"/>
          <w:szCs w:val="28"/>
        </w:rPr>
        <w:t xml:space="preserve"> № 34/</w:t>
      </w:r>
      <w:proofErr w:type="spellStart"/>
      <w:proofErr w:type="gramStart"/>
      <w:r w:rsidR="008C5178" w:rsidRPr="00160ABA">
        <w:rPr>
          <w:color w:val="000000"/>
          <w:sz w:val="28"/>
          <w:szCs w:val="28"/>
        </w:rPr>
        <w:t>пр</w:t>
      </w:r>
      <w:proofErr w:type="spellEnd"/>
      <w:proofErr w:type="gramEnd"/>
      <w:r w:rsidR="008C5178" w:rsidRPr="00160ABA">
        <w:rPr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60ABA">
        <w:rPr>
          <w:color w:val="000000"/>
          <w:sz w:val="28"/>
          <w:szCs w:val="28"/>
        </w:rPr>
        <w:t>;</w:t>
      </w:r>
    </w:p>
    <w:p w:rsidR="009E7BE5" w:rsidRPr="008A4DEC" w:rsidRDefault="008A4DEC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DE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настоящим </w:t>
      </w:r>
      <w:r w:rsidR="009E7BE5" w:rsidRPr="008A4DEC">
        <w:rPr>
          <w:rFonts w:ascii="Times New Roman" w:eastAsia="Times New Roman" w:hAnsi="Times New Roman" w:cs="Times New Roman"/>
          <w:iCs/>
          <w:sz w:val="28"/>
          <w:szCs w:val="28"/>
        </w:rPr>
        <w:t>административным регламентом.</w:t>
      </w:r>
    </w:p>
    <w:p w:rsidR="009E7BE5" w:rsidRPr="008A4DEC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EC">
        <w:rPr>
          <w:rFonts w:ascii="Times New Roman" w:eastAsia="Times New Roman" w:hAnsi="Times New Roman" w:cs="Times New Roman"/>
          <w:iCs/>
          <w:color w:val="FF0000"/>
          <w:sz w:val="28"/>
          <w:szCs w:val="28"/>
        </w:rPr>
        <w:t> </w:t>
      </w:r>
    </w:p>
    <w:p w:rsidR="009E7BE5" w:rsidRPr="008A4DEC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4DE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2.6. Исчерпывающий перечень документов, необходимых в соответствии 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2.6.1. В целях предоставления муниципальной услуги </w:t>
      </w:r>
      <w:r w:rsidR="006C5366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части планируемого сноса объекта капитального строительства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представляет (направляет) следующие документы:</w:t>
      </w:r>
    </w:p>
    <w:p w:rsidR="003B62FE" w:rsidRPr="003B62FE" w:rsidRDefault="00173CE5" w:rsidP="003B62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уведомление </w:t>
      </w:r>
      <w:r w:rsidR="003B62FE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планируемом сносе объекта капительного строительства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</w:t>
      </w:r>
      <w:r w:rsidR="003B62FE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</w:t>
      </w:r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>Минстроя России от 24 января 2019 года № 34/</w:t>
      </w:r>
      <w:proofErr w:type="spellStart"/>
      <w:proofErr w:type="gramStart"/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B62FE" w:rsidRPr="00160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FE1" w:rsidRPr="00160ABA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Уведомление заполняется разборчиво в машинописном виде или от руки.</w:t>
      </w:r>
    </w:p>
    <w:p w:rsidR="00E42FE1" w:rsidRPr="00160ABA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Уведомление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160ABA">
        <w:rPr>
          <w:sz w:val="28"/>
          <w:szCs w:val="28"/>
        </w:rPr>
        <w:t>В последнем случае заявитель вписывает в уведомление от руки свои фамилию, имя, отчество (при наличии) и ставит подпись.</w:t>
      </w:r>
      <w:proofErr w:type="gramEnd"/>
    </w:p>
    <w:p w:rsidR="00E42FE1" w:rsidRPr="00160ABA" w:rsidRDefault="00E42FE1" w:rsidP="00E42FE1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При заполнении уведомления не допускается использование сокращений слов и аббревиатур.</w:t>
      </w:r>
    </w:p>
    <w:p w:rsidR="00E42FE1" w:rsidRPr="00160ABA" w:rsidRDefault="00E42FE1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Бланк уведомления размещается на официальном сайте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в сети «Интернет» с возможностью бесплатного копирования (скачивания);</w:t>
      </w:r>
    </w:p>
    <w:p w:rsidR="00173CE5" w:rsidRPr="00160ABA" w:rsidRDefault="00173CE5" w:rsidP="00E42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заполнении уведомления не допускается использование сокращений слов и аббревиатур.</w:t>
      </w:r>
    </w:p>
    <w:p w:rsidR="00173CE5" w:rsidRPr="00160ABA" w:rsidRDefault="00173CE5" w:rsidP="00E42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К уведомлению о планируемом сносе прилагаются:</w:t>
      </w:r>
    </w:p>
    <w:p w:rsidR="00173CE5" w:rsidRPr="00160ABA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а</w:t>
      </w:r>
      <w:r w:rsidR="00173CE5" w:rsidRPr="00160ABA">
        <w:rPr>
          <w:rFonts w:ascii="Times New Roman" w:hAnsi="Times New Roman" w:cs="Times New Roman"/>
          <w:sz w:val="28"/>
          <w:szCs w:val="28"/>
        </w:rPr>
        <w:t>) результаты и материалы обследования объекта капитального строительства;</w:t>
      </w:r>
    </w:p>
    <w:p w:rsidR="006C5366" w:rsidRPr="00160ABA" w:rsidRDefault="006C5366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б</w:t>
      </w:r>
      <w:r w:rsidR="00173CE5" w:rsidRPr="00160ABA">
        <w:rPr>
          <w:rFonts w:ascii="Times New Roman" w:hAnsi="Times New Roman" w:cs="Times New Roman"/>
          <w:sz w:val="28"/>
          <w:szCs w:val="28"/>
        </w:rPr>
        <w:t>) проект организации работ по сносу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.</w:t>
      </w:r>
    </w:p>
    <w:p w:rsidR="006C5366" w:rsidRPr="00160ABA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C5366" w:rsidRPr="00160ABA" w:rsidRDefault="006C5366" w:rsidP="006C5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в) </w:t>
      </w:r>
      <w:r w:rsidR="00173CE5" w:rsidRPr="00160ABA">
        <w:rPr>
          <w:rFonts w:ascii="Times New Roman" w:hAnsi="Times New Roman" w:cs="Times New Roman"/>
          <w:sz w:val="28"/>
          <w:szCs w:val="28"/>
        </w:rPr>
        <w:t> </w:t>
      </w:r>
      <w:r w:rsidRPr="00160ABA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объект </w:t>
      </w:r>
      <w:r w:rsidR="00A24B33">
        <w:rPr>
          <w:rFonts w:ascii="Times New Roman" w:hAnsi="Times New Roman" w:cs="Times New Roman"/>
          <w:sz w:val="28"/>
          <w:szCs w:val="28"/>
        </w:rPr>
        <w:t xml:space="preserve">  </w:t>
      </w:r>
      <w:r w:rsidRPr="00160ABA">
        <w:rPr>
          <w:rFonts w:ascii="Times New Roman" w:hAnsi="Times New Roman" w:cs="Times New Roman"/>
          <w:sz w:val="28"/>
          <w:szCs w:val="28"/>
        </w:rPr>
        <w:t xml:space="preserve">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6C5366" w:rsidRPr="003B62FE" w:rsidRDefault="006C5366" w:rsidP="00850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2.6.2. 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В целях предоставления муниципальной услуги в части завершения сноса объекта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капитального строительства заявитель представляет (направляет) уведомление о завершении сноса объекта капительного строительства по форме, утвержденной приказом </w:t>
      </w:r>
      <w:r w:rsidRPr="00160ABA">
        <w:rPr>
          <w:rFonts w:ascii="Times New Roman" w:hAnsi="Times New Roman" w:cs="Times New Roman"/>
          <w:color w:val="000000"/>
          <w:sz w:val="28"/>
          <w:szCs w:val="28"/>
        </w:rPr>
        <w:t>Минстроя России от 24 января 2019 года № 34/</w:t>
      </w:r>
      <w:proofErr w:type="spellStart"/>
      <w:proofErr w:type="gramStart"/>
      <w:r w:rsidRPr="00160AB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160AB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2.6.3. Заявитель имеет право представить уведомление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планируемом сносе объекта капительного строительства</w:t>
      </w:r>
      <w:r w:rsidR="008502DC" w:rsidRPr="00160ABA">
        <w:rPr>
          <w:rFonts w:ascii="Times New Roman" w:hAnsi="Times New Roman" w:cs="Times New Roman"/>
          <w:sz w:val="28"/>
          <w:szCs w:val="28"/>
        </w:rPr>
        <w:t xml:space="preserve"> </w:t>
      </w:r>
      <w:r w:rsidRPr="00160ABA">
        <w:rPr>
          <w:rFonts w:ascii="Times New Roman" w:hAnsi="Times New Roman" w:cs="Times New Roman"/>
          <w:sz w:val="28"/>
          <w:szCs w:val="28"/>
        </w:rPr>
        <w:t xml:space="preserve">или уведомление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завершении сноса объекта капительного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и приложенные к ним документы следующими способами: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путем личного </w:t>
      </w:r>
      <w:r w:rsidR="00A24B33">
        <w:rPr>
          <w:rFonts w:ascii="Times New Roman" w:hAnsi="Times New Roman" w:cs="Times New Roman"/>
          <w:sz w:val="28"/>
          <w:szCs w:val="28"/>
        </w:rPr>
        <w:t>обращения в Администрацию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или в МФЦ лично либо через своих представителей;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6C5366" w:rsidRPr="00160ABA" w:rsidRDefault="006C5366" w:rsidP="00850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8502DC" w:rsidRPr="00160ABA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ABA">
        <w:rPr>
          <w:rFonts w:ascii="Times New Roman" w:hAnsi="Times New Roman"/>
          <w:sz w:val="28"/>
          <w:szCs w:val="28"/>
        </w:rPr>
        <w:t>2.6.4. Дополнительно к документам, предусмотренным пункт</w:t>
      </w:r>
      <w:r w:rsidR="00267AC1" w:rsidRPr="00160ABA">
        <w:rPr>
          <w:rFonts w:ascii="Times New Roman" w:hAnsi="Times New Roman"/>
          <w:sz w:val="28"/>
          <w:szCs w:val="28"/>
        </w:rPr>
        <w:t>ами</w:t>
      </w:r>
      <w:r w:rsidRPr="00160ABA">
        <w:rPr>
          <w:rFonts w:ascii="Times New Roman" w:hAnsi="Times New Roman"/>
          <w:sz w:val="28"/>
          <w:szCs w:val="28"/>
        </w:rPr>
        <w:t xml:space="preserve"> 2.6.1 и 2.6.2 настоящего административного регламента, представитель заявителя представляет:</w:t>
      </w:r>
    </w:p>
    <w:p w:rsidR="008502DC" w:rsidRPr="00160ABA" w:rsidRDefault="008502DC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ABA">
        <w:rPr>
          <w:rFonts w:ascii="Times New Roman" w:hAnsi="Times New Roman"/>
          <w:sz w:val="28"/>
          <w:szCs w:val="28"/>
        </w:rPr>
        <w:t xml:space="preserve">а) документ, удостоверяющий личность представителя заявителя </w:t>
      </w:r>
      <w:r w:rsidRPr="00160ABA">
        <w:rPr>
          <w:rFonts w:ascii="Times New Roman" w:hAnsi="Times New Roman"/>
          <w:sz w:val="28"/>
          <w:szCs w:val="28"/>
        </w:rPr>
        <w:br/>
        <w:t xml:space="preserve">(в случае личного обращения в </w:t>
      </w:r>
      <w:r w:rsidR="00854FAD">
        <w:rPr>
          <w:rFonts w:ascii="Times New Roman" w:hAnsi="Times New Roman"/>
          <w:sz w:val="28"/>
          <w:szCs w:val="28"/>
        </w:rPr>
        <w:t>Администрацию округа</w:t>
      </w:r>
      <w:r w:rsidRPr="00160ABA">
        <w:rPr>
          <w:rFonts w:ascii="Times New Roman" w:hAnsi="Times New Roman"/>
          <w:sz w:val="28"/>
          <w:szCs w:val="28"/>
        </w:rPr>
        <w:t>/МФЦ);</w:t>
      </w:r>
    </w:p>
    <w:p w:rsidR="008502DC" w:rsidRPr="00160ABA" w:rsidRDefault="008502DC" w:rsidP="008502DC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6C5366" w:rsidRPr="00754BCA" w:rsidRDefault="006C5366" w:rsidP="008502D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2.6.</w:t>
      </w:r>
      <w:r w:rsidR="008502DC" w:rsidRPr="00160ABA">
        <w:rPr>
          <w:rFonts w:ascii="Times New Roman" w:hAnsi="Times New Roman" w:cs="Times New Roman"/>
          <w:sz w:val="28"/>
          <w:szCs w:val="28"/>
        </w:rPr>
        <w:t>5</w:t>
      </w:r>
      <w:r w:rsidRPr="00160ABA">
        <w:rPr>
          <w:rFonts w:ascii="Times New Roman" w:hAnsi="Times New Roman" w:cs="Times New Roman"/>
          <w:sz w:val="28"/>
          <w:szCs w:val="28"/>
        </w:rPr>
        <w:t xml:space="preserve">. Уведомление и документы, предоставляемые в форме электронного документа, </w:t>
      </w:r>
      <w:r w:rsidRPr="00754BCA">
        <w:rPr>
          <w:rFonts w:ascii="Times New Roman" w:hAnsi="Times New Roman" w:cs="Times New Roman"/>
          <w:sz w:val="28"/>
          <w:szCs w:val="28"/>
        </w:rPr>
        <w:t xml:space="preserve">подписываются в соответствии с требованиями Федерального </w:t>
      </w:r>
      <w:hyperlink r:id="rId11" w:history="1">
        <w:r w:rsidRPr="00754BC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754BCA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и </w:t>
      </w:r>
      <w:hyperlink r:id="rId12" w:history="1">
        <w:r w:rsidRPr="00754BC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Pr="00754B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754BC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Pr="00754BC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</w:t>
      </w:r>
      <w:r w:rsidRPr="00754BCA">
        <w:rPr>
          <w:rFonts w:ascii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CA">
        <w:rPr>
          <w:rFonts w:ascii="Times New Roman" w:eastAsia="Calibri" w:hAnsi="Times New Roman" w:cs="Times New Roman"/>
          <w:sz w:val="28"/>
          <w:szCs w:val="28"/>
        </w:rPr>
        <w:lastRenderedPageBreak/>
        <w:t>Документ, подтверждающий полномочия представителя юридического лица, представленный в форме электронного</w:t>
      </w:r>
      <w:r w:rsidRPr="00160ABA">
        <w:rPr>
          <w:rFonts w:ascii="Times New Roman" w:eastAsia="Calibri" w:hAnsi="Times New Roman" w:cs="Times New Roman"/>
          <w:sz w:val="28"/>
          <w:szCs w:val="28"/>
        </w:rPr>
        <w:t xml:space="preserve"> документа, удостоверяется усиленной электронной подписью правомочного должностного лица организации.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2.6.</w:t>
      </w:r>
      <w:r w:rsidR="008502DC" w:rsidRPr="00160ABA">
        <w:rPr>
          <w:rFonts w:ascii="Times New Roman" w:eastAsia="Calibri" w:hAnsi="Times New Roman" w:cs="Times New Roman"/>
          <w:sz w:val="28"/>
          <w:szCs w:val="28"/>
        </w:rPr>
        <w:t>6</w:t>
      </w:r>
      <w:r w:rsidRPr="00160ABA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2.6.</w:t>
      </w:r>
      <w:r w:rsidR="008502DC" w:rsidRPr="00160ABA">
        <w:rPr>
          <w:rFonts w:ascii="Times New Roman" w:eastAsia="Calibri" w:hAnsi="Times New Roman" w:cs="Times New Roman"/>
          <w:sz w:val="28"/>
          <w:szCs w:val="28"/>
        </w:rPr>
        <w:t>7</w:t>
      </w:r>
      <w:r w:rsidRPr="00160ABA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C5366" w:rsidRPr="00160ABA" w:rsidRDefault="006C5366" w:rsidP="00850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5366" w:rsidRPr="00160ABA" w:rsidRDefault="006C5366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BE5" w:rsidRPr="00854FAD" w:rsidRDefault="009E7BE5" w:rsidP="00220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F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2.7. 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3710A" w:rsidRPr="00160ABA" w:rsidRDefault="009E7BE5" w:rsidP="005109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2.7.1. Заявитель вправе представить в </w:t>
      </w:r>
      <w:r w:rsidR="00854FA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3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выписку из ЕГРН о правах </w:t>
      </w:r>
      <w:r w:rsidR="00DC357A" w:rsidRPr="00160ABA">
        <w:rPr>
          <w:rFonts w:ascii="Times New Roman" w:hAnsi="Times New Roman" w:cs="Times New Roman"/>
          <w:sz w:val="28"/>
          <w:szCs w:val="28"/>
        </w:rPr>
        <w:t>земельный участок, объект капитального строительства</w:t>
      </w:r>
      <w:r w:rsidR="00DC357A">
        <w:rPr>
          <w:rFonts w:ascii="Times New Roman" w:hAnsi="Times New Roman" w:cs="Times New Roman"/>
          <w:sz w:val="28"/>
          <w:szCs w:val="28"/>
        </w:rPr>
        <w:t xml:space="preserve"> - </w:t>
      </w:r>
      <w:r w:rsidR="00267AC1" w:rsidRPr="00160ABA">
        <w:rPr>
          <w:rFonts w:ascii="Times New Roman" w:hAnsi="Times New Roman" w:cs="Times New Roman"/>
          <w:sz w:val="28"/>
          <w:szCs w:val="28"/>
        </w:rPr>
        <w:t xml:space="preserve">в случае направления уведомления </w:t>
      </w:r>
      <w:r w:rsidR="00267AC1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планируемом сносе объекта капительного строительства</w:t>
      </w:r>
      <w:r w:rsidR="005109A0" w:rsidRPr="00160ABA">
        <w:rPr>
          <w:rFonts w:ascii="Times New Roman" w:hAnsi="Times New Roman" w:cs="Times New Roman"/>
          <w:sz w:val="28"/>
          <w:szCs w:val="28"/>
        </w:rPr>
        <w:t>.</w:t>
      </w:r>
    </w:p>
    <w:p w:rsidR="005109A0" w:rsidRPr="00160ABA" w:rsidRDefault="005109A0" w:rsidP="005109A0">
      <w:pPr>
        <w:pStyle w:val="ConsPlusNormal"/>
        <w:widowControl/>
        <w:ind w:firstLine="709"/>
        <w:jc w:val="both"/>
        <w:outlineLvl w:val="0"/>
        <w:rPr>
          <w:sz w:val="28"/>
          <w:szCs w:val="28"/>
        </w:rPr>
      </w:pPr>
      <w:r w:rsidRPr="00160ABA">
        <w:rPr>
          <w:sz w:val="28"/>
          <w:szCs w:val="28"/>
        </w:rPr>
        <w:t>2.7.2. Документ, предусмотренный пунктом 2.7.1 настоящего административного регламента, не может быть затребован у заявителя, при этом заявитель вправе представить его вместе с уведомлением.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2.7.3. Документ, предусмотренный пунктом 2.7.1 настоящего административного регламента, может быть представлен заявителем следующими способами: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путем личного обращения в </w:t>
      </w:r>
      <w:r w:rsidR="00854FAD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или в МФЦ лично либо через своих представителей;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5109A0" w:rsidRPr="00160ABA" w:rsidRDefault="005109A0" w:rsidP="00510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2.7.4. Документ, предусмотренный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5109A0" w:rsidRPr="00160ABA" w:rsidRDefault="005109A0" w:rsidP="005109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2.7.5. </w:t>
      </w:r>
      <w:r w:rsidRPr="00160ABA">
        <w:rPr>
          <w:rFonts w:ascii="Times New Roman" w:hAnsi="Times New Roman" w:cs="Times New Roman"/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5109A0" w:rsidRPr="00160ABA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>Копия документа, предусмотренного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5109A0" w:rsidRPr="00160ABA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109A0" w:rsidRPr="00160ABA" w:rsidRDefault="005109A0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9E7BE5" w:rsidRPr="00160ABA" w:rsidRDefault="009E7BE5" w:rsidP="005109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. Запрещено требовать от заявителя: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5A2BF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округа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, иных органов местного самоуправления,  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 </w:t>
      </w:r>
      <w:hyperlink r:id="rId14" w:tgtFrame="_blank" w:history="1">
        <w:r w:rsidRPr="00160AB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4 части 1</w:t>
        </w:r>
        <w:r w:rsidRPr="00160AB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 </w:t>
        </w:r>
        <w:r w:rsidRPr="00160AB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статьи 7</w:t>
        </w:r>
      </w:hyperlink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9E7BE5" w:rsidRPr="00160ABA" w:rsidRDefault="009E7BE5" w:rsidP="00CE30AF">
      <w:pPr>
        <w:pStyle w:val="ConsPlusNormal"/>
        <w:ind w:firstLine="709"/>
        <w:jc w:val="both"/>
        <w:rPr>
          <w:i/>
          <w:sz w:val="28"/>
          <w:szCs w:val="28"/>
          <w:shd w:val="clear" w:color="auto" w:fill="FFFFFF"/>
        </w:rPr>
      </w:pPr>
      <w:proofErr w:type="gramStart"/>
      <w:r w:rsidRPr="00160ABA">
        <w:rPr>
          <w:color w:val="000000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</w:t>
      </w:r>
      <w:r w:rsidRPr="00160ABA">
        <w:rPr>
          <w:color w:val="000000"/>
          <w:sz w:val="28"/>
          <w:szCs w:val="28"/>
        </w:rPr>
        <w:lastRenderedPageBreak/>
        <w:t>предоставления</w:t>
      </w:r>
      <w:r w:rsidR="00FF077C" w:rsidRPr="00160ABA">
        <w:rPr>
          <w:color w:val="000000"/>
          <w:sz w:val="28"/>
          <w:szCs w:val="28"/>
        </w:rPr>
        <w:t xml:space="preserve"> государственных и</w:t>
      </w:r>
      <w:r w:rsidRPr="00160ABA">
        <w:rPr>
          <w:color w:val="000000"/>
          <w:sz w:val="28"/>
          <w:szCs w:val="28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854FAD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F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2.8. Исчерпывающий перечень оснований для отказа в приеме документов, необходимых для предоставления муниципальной услуги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отказа в приеме документов, необходимых для предоставления муниципальной услуги, отсутствуют.</w:t>
      </w:r>
    </w:p>
    <w:p w:rsidR="009E7BE5" w:rsidRPr="00160ABA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E7BE5" w:rsidRPr="00854FAD" w:rsidRDefault="009E7BE5" w:rsidP="00CE30AF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F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 муниципальной услуги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2.9.1.Основанием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9E7BE5" w:rsidRPr="00160ABA" w:rsidRDefault="009E7BE5" w:rsidP="00FE3407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2.9.3.</w:t>
      </w:r>
      <w:r w:rsidRPr="00160ABA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</w:t>
      </w:r>
      <w:r w:rsidR="00FE3407" w:rsidRPr="00160ABA">
        <w:rPr>
          <w:rFonts w:ascii="Times New Roman" w:hAnsi="Times New Roman" w:cs="Times New Roman"/>
          <w:sz w:val="28"/>
          <w:szCs w:val="28"/>
        </w:rPr>
        <w:t xml:space="preserve"> </w:t>
      </w:r>
      <w:r w:rsidR="00FE3407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планируемого сноса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:</w:t>
      </w:r>
    </w:p>
    <w:p w:rsidR="00841B45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1) </w:t>
      </w:r>
      <w:r w:rsidR="00841B45">
        <w:rPr>
          <w:rFonts w:ascii="Times New Roman" w:hAnsi="Times New Roman" w:cs="Times New Roman"/>
          <w:sz w:val="28"/>
          <w:szCs w:val="28"/>
        </w:rPr>
        <w:t xml:space="preserve">уведомление и документы не соответствуют </w:t>
      </w:r>
      <w:r w:rsidR="00841B45" w:rsidRPr="00160ABA">
        <w:rPr>
          <w:rFonts w:ascii="Times New Roman" w:hAnsi="Times New Roman" w:cs="Times New Roman"/>
          <w:sz w:val="28"/>
          <w:szCs w:val="28"/>
        </w:rPr>
        <w:t>требованиям Градостроительн</w:t>
      </w:r>
      <w:r w:rsidR="00841B45">
        <w:rPr>
          <w:rFonts w:ascii="Times New Roman" w:hAnsi="Times New Roman" w:cs="Times New Roman"/>
          <w:sz w:val="28"/>
          <w:szCs w:val="28"/>
        </w:rPr>
        <w:t>ого</w:t>
      </w:r>
      <w:r w:rsidR="00841B45" w:rsidRPr="00160AB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1B45">
        <w:rPr>
          <w:rFonts w:ascii="Times New Roman" w:hAnsi="Times New Roman" w:cs="Times New Roman"/>
          <w:sz w:val="28"/>
          <w:szCs w:val="28"/>
        </w:rPr>
        <w:t>а</w:t>
      </w:r>
      <w:r w:rsidR="00841B45" w:rsidRPr="00160ABA">
        <w:rPr>
          <w:rFonts w:ascii="Times New Roman" w:hAnsi="Times New Roman" w:cs="Times New Roman"/>
          <w:sz w:val="28"/>
          <w:szCs w:val="28"/>
        </w:rPr>
        <w:t xml:space="preserve"> РФ</w:t>
      </w:r>
      <w:r w:rsidR="00841B45">
        <w:rPr>
          <w:rFonts w:ascii="Times New Roman" w:hAnsi="Times New Roman" w:cs="Times New Roman"/>
          <w:sz w:val="28"/>
          <w:szCs w:val="28"/>
        </w:rPr>
        <w:t>;</w:t>
      </w:r>
    </w:p>
    <w:p w:rsidR="00F3710A" w:rsidRPr="00160ABA" w:rsidRDefault="00F3710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2) уведомление о планируемом сносе объекта капитального строительства подано </w:t>
      </w:r>
      <w:r w:rsidR="00841B45">
        <w:rPr>
          <w:rFonts w:ascii="Times New Roman" w:hAnsi="Times New Roman" w:cs="Times New Roman"/>
          <w:sz w:val="28"/>
          <w:szCs w:val="28"/>
        </w:rPr>
        <w:t>неуполномоченным лицом;</w:t>
      </w:r>
    </w:p>
    <w:p w:rsidR="008A603A" w:rsidRDefault="008A603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3) отсутствие документов, предусмотренных пунктом 2.6.1 настоящего административного регламента.</w:t>
      </w:r>
    </w:p>
    <w:p w:rsidR="000621AA" w:rsidRPr="00160ABA" w:rsidRDefault="000621AA" w:rsidP="00CE3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2.9.4. Оснований для отказа в части завершения сноса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не имеется. 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"/>
    <w:p w:rsidR="00C97459" w:rsidRPr="00854FAD" w:rsidRDefault="00C97459" w:rsidP="00C97459">
      <w:pPr>
        <w:pStyle w:val="3"/>
        <w:spacing w:after="0"/>
        <w:ind w:left="0"/>
        <w:jc w:val="center"/>
        <w:rPr>
          <w:iCs/>
          <w:sz w:val="28"/>
          <w:szCs w:val="28"/>
        </w:rPr>
      </w:pPr>
      <w:r w:rsidRPr="00854FAD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54FAD" w:rsidRPr="00854FAD" w:rsidRDefault="00854FAD" w:rsidP="00854FAD">
      <w:pPr>
        <w:pStyle w:val="4"/>
        <w:ind w:firstLine="709"/>
        <w:jc w:val="both"/>
        <w:rPr>
          <w:color w:val="000000"/>
        </w:rPr>
      </w:pPr>
      <w:r w:rsidRPr="00854FAD">
        <w:rPr>
          <w:color w:val="000000"/>
        </w:rPr>
        <w:t>Услуги, которые являются необходимыми и обязательными для предоставления муниципальной услуги, не имеется.</w:t>
      </w:r>
    </w:p>
    <w:p w:rsidR="00C97459" w:rsidRPr="00160ABA" w:rsidRDefault="00C97459" w:rsidP="00C97459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97459" w:rsidRPr="00854FAD" w:rsidRDefault="00C97459" w:rsidP="00220DDC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4FAD">
        <w:rPr>
          <w:rFonts w:ascii="Times New Roman" w:hAnsi="Times New Roman" w:cs="Times New Roman"/>
          <w:color w:val="000000"/>
          <w:sz w:val="28"/>
          <w:szCs w:val="28"/>
        </w:rPr>
        <w:t xml:space="preserve">2.11. </w:t>
      </w:r>
      <w:r w:rsidRPr="00854FAD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97459" w:rsidRPr="00160ABA" w:rsidRDefault="00C97459" w:rsidP="00C97459">
      <w:pPr>
        <w:pStyle w:val="4"/>
        <w:spacing w:before="0"/>
        <w:ind w:firstLine="709"/>
        <w:rPr>
          <w:b/>
          <w:i/>
          <w:iCs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C97459" w:rsidRPr="00160ABA" w:rsidRDefault="00C97459" w:rsidP="00C97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854FAD" w:rsidRDefault="00C97459" w:rsidP="00C97459">
      <w:pPr>
        <w:pStyle w:val="4"/>
        <w:spacing w:before="0"/>
        <w:rPr>
          <w:iCs/>
        </w:rPr>
      </w:pPr>
      <w:r w:rsidRPr="00854FAD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97459" w:rsidRPr="00160ABA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97459" w:rsidRPr="00160ABA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C97459" w:rsidRPr="00160ABA" w:rsidRDefault="00C97459" w:rsidP="00C97459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97459" w:rsidRPr="00854FAD" w:rsidRDefault="00C97459" w:rsidP="00C97459">
      <w:pPr>
        <w:pStyle w:val="ConsPlusNormal"/>
        <w:jc w:val="center"/>
        <w:rPr>
          <w:sz w:val="28"/>
          <w:szCs w:val="28"/>
        </w:rPr>
      </w:pPr>
      <w:r w:rsidRPr="00854FAD">
        <w:rPr>
          <w:sz w:val="28"/>
          <w:szCs w:val="28"/>
        </w:rPr>
        <w:t>2.13. Срок регистрации запроса заявителя</w:t>
      </w:r>
    </w:p>
    <w:p w:rsidR="00C97459" w:rsidRPr="00854FAD" w:rsidRDefault="00C97459" w:rsidP="00C97459">
      <w:pPr>
        <w:pStyle w:val="ConsPlusNormal"/>
        <w:jc w:val="center"/>
        <w:rPr>
          <w:sz w:val="28"/>
          <w:szCs w:val="28"/>
        </w:rPr>
      </w:pPr>
      <w:r w:rsidRPr="00854FAD">
        <w:rPr>
          <w:sz w:val="28"/>
          <w:szCs w:val="28"/>
        </w:rPr>
        <w:t>о предоставлении муниципальной услуги, в том числе в электронной форме</w:t>
      </w:r>
    </w:p>
    <w:p w:rsidR="00C97459" w:rsidRPr="00065EF9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065EF9" w:rsidRDefault="00C97459" w:rsidP="00065E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F9">
        <w:rPr>
          <w:rFonts w:ascii="Times New Roman" w:hAnsi="Times New Roman" w:cs="Times New Roman"/>
          <w:sz w:val="28"/>
          <w:szCs w:val="28"/>
        </w:rPr>
        <w:t>Регистрация уведомления</w:t>
      </w:r>
      <w:r w:rsidRPr="00065EF9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 осуществляется</w:t>
      </w:r>
      <w:r w:rsidRPr="00065EF9">
        <w:rPr>
          <w:rFonts w:ascii="Times New Roman" w:hAnsi="Times New Roman" w:cs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65EF9" w:rsidRPr="00065EF9" w:rsidRDefault="00065EF9" w:rsidP="00065EF9">
      <w:pPr>
        <w:pStyle w:val="ConsPlusNormal"/>
        <w:ind w:firstLine="709"/>
        <w:jc w:val="both"/>
        <w:rPr>
          <w:sz w:val="28"/>
          <w:szCs w:val="28"/>
        </w:rPr>
      </w:pPr>
      <w:r w:rsidRPr="00065EF9">
        <w:rPr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065EF9" w:rsidRPr="00754BCA" w:rsidRDefault="00065EF9" w:rsidP="00754BCA">
      <w:pPr>
        <w:pStyle w:val="ConsPlusNormal"/>
        <w:ind w:firstLine="709"/>
        <w:jc w:val="both"/>
        <w:rPr>
          <w:sz w:val="28"/>
          <w:szCs w:val="28"/>
        </w:rPr>
      </w:pPr>
      <w:r w:rsidRPr="00065EF9">
        <w:rPr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 w:rsidRPr="00754BCA">
        <w:rPr>
          <w:sz w:val="28"/>
          <w:szCs w:val="28"/>
        </w:rPr>
        <w:t>использованием средств информационной системы аккредитованного удостоверяющего центра.</w:t>
      </w:r>
    </w:p>
    <w:p w:rsidR="00754BCA" w:rsidRPr="00754BCA" w:rsidRDefault="00754BCA" w:rsidP="00754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CA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754BC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54BCA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C97459" w:rsidRPr="00754BCA" w:rsidRDefault="00C97459" w:rsidP="00754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854FAD" w:rsidRDefault="00C97459" w:rsidP="00C97459">
      <w:pPr>
        <w:pStyle w:val="ConsPlusNormal"/>
        <w:jc w:val="center"/>
        <w:rPr>
          <w:sz w:val="28"/>
          <w:szCs w:val="28"/>
        </w:rPr>
      </w:pPr>
      <w:r w:rsidRPr="00854FAD">
        <w:rPr>
          <w:sz w:val="28"/>
          <w:szCs w:val="28"/>
        </w:rPr>
        <w:t xml:space="preserve">2.14. </w:t>
      </w:r>
      <w:proofErr w:type="gramStart"/>
      <w:r w:rsidRPr="00854FAD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97459" w:rsidRPr="00160ABA" w:rsidRDefault="00C97459" w:rsidP="00C97459">
      <w:pPr>
        <w:pStyle w:val="ConsPlusNormal"/>
        <w:jc w:val="center"/>
        <w:rPr>
          <w:i/>
          <w:sz w:val="28"/>
          <w:szCs w:val="28"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 xml:space="preserve">2.14.1. Центральный вход в здание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, в котором предоставляется муниципальная услуга, оборудуется вывеской, содержащей информацию о наименовании и режиме работы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>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>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>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160ABA">
          <w:rPr>
            <w:rStyle w:val="ac"/>
            <w:rFonts w:ascii="Times New Roman" w:hAnsi="Times New Roman"/>
            <w:sz w:val="28"/>
            <w:szCs w:val="28"/>
          </w:rPr>
          <w:t>приказом</w:t>
        </w:r>
      </w:hyperlink>
      <w:r w:rsidRPr="00160ABA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60AB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60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AB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60ABA">
        <w:rPr>
          <w:rFonts w:ascii="Times New Roman" w:hAnsi="Times New Roman" w:cs="Times New Roman"/>
          <w:sz w:val="28"/>
          <w:szCs w:val="28"/>
        </w:rPr>
        <w:t>;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 xml:space="preserve">оказание сотрудниками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на видном месте устанавливаются схемы размещения средств пожаротушения и путей эвакуации.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C97459" w:rsidRPr="00131111" w:rsidRDefault="00C97459" w:rsidP="00C97459">
      <w:pPr>
        <w:pStyle w:val="4"/>
        <w:spacing w:before="0"/>
        <w:rPr>
          <w:b/>
          <w:iCs/>
        </w:rPr>
      </w:pPr>
    </w:p>
    <w:p w:rsidR="00C97459" w:rsidRPr="00131111" w:rsidRDefault="00C97459" w:rsidP="00C97459">
      <w:pPr>
        <w:pStyle w:val="4"/>
        <w:spacing w:before="0"/>
        <w:rPr>
          <w:iCs/>
        </w:rPr>
      </w:pPr>
      <w:r w:rsidRPr="00131111">
        <w:rPr>
          <w:iCs/>
        </w:rPr>
        <w:t>2.15. Показатели доступности и качества муниципальной услуги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оборудование территорий, прилегающих к месторасположению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>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оборудование помещений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местами хранения верхней одежды заявителей, местами общего пользования;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соблюдение графика работы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>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</w:t>
      </w:r>
      <w:r w:rsidR="00131111">
        <w:rPr>
          <w:rFonts w:ascii="Times New Roman" w:hAnsi="Times New Roman" w:cs="Times New Roman"/>
          <w:sz w:val="28"/>
          <w:szCs w:val="28"/>
        </w:rPr>
        <w:t>явителей в 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время, затраченное на получение конечного результата муниципальной услуги.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97459" w:rsidRPr="00160ABA" w:rsidRDefault="00C97459" w:rsidP="00C97459">
      <w:pPr>
        <w:pStyle w:val="4"/>
        <w:spacing w:before="0"/>
        <w:ind w:firstLine="709"/>
        <w:jc w:val="both"/>
      </w:pPr>
      <w:proofErr w:type="gramStart"/>
      <w:r w:rsidRPr="00160ABA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="005A2BFF">
        <w:t>Администрации округа</w:t>
      </w:r>
      <w:r w:rsidRPr="00160ABA">
        <w:t xml:space="preserve"> документов, платы, не предусмотренных административным регламентом.</w:t>
      </w:r>
      <w:proofErr w:type="gramEnd"/>
    </w:p>
    <w:p w:rsidR="00C97459" w:rsidRPr="00160ABA" w:rsidRDefault="00C97459" w:rsidP="00C97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97459" w:rsidRPr="00160ABA" w:rsidRDefault="00C97459" w:rsidP="00C974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31111" w:rsidRDefault="00C97459" w:rsidP="00C97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31111">
        <w:rPr>
          <w:rFonts w:ascii="Times New Roman" w:hAnsi="Times New Roman" w:cs="Times New Roman"/>
          <w:sz w:val="28"/>
          <w:szCs w:val="28"/>
        </w:rPr>
        <w:t>2.16. Перечень классов средств электронной подписи, которые</w:t>
      </w:r>
    </w:p>
    <w:p w:rsidR="00C97459" w:rsidRPr="00131111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111">
        <w:rPr>
          <w:rFonts w:ascii="Times New Roman" w:hAnsi="Times New Roman" w:cs="Times New Roman"/>
          <w:sz w:val="28"/>
          <w:szCs w:val="28"/>
        </w:rPr>
        <w:t>допускаются к использованию при обращении за получением</w:t>
      </w:r>
    </w:p>
    <w:p w:rsidR="00C97459" w:rsidRPr="00131111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111">
        <w:rPr>
          <w:rFonts w:ascii="Times New Roman" w:hAnsi="Times New Roman" w:cs="Times New Roman"/>
          <w:sz w:val="28"/>
          <w:szCs w:val="28"/>
        </w:rPr>
        <w:t>муниципальной услуги, оказываемой с применением</w:t>
      </w:r>
    </w:p>
    <w:p w:rsidR="00C97459" w:rsidRPr="00131111" w:rsidRDefault="00C97459" w:rsidP="00C97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111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</w:t>
      </w: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C9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6" w:history="1">
        <w:r w:rsidRPr="00160ABA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160ABA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54D0" w:rsidRPr="00160ABA" w:rsidRDefault="001854D0" w:rsidP="001854D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854D0" w:rsidRPr="00160ABA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54D0" w:rsidRPr="00160ABA" w:rsidRDefault="001854D0" w:rsidP="001854D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1854D0" w:rsidRPr="00160ABA" w:rsidRDefault="001854D0" w:rsidP="00185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E7BE5" w:rsidRPr="00160ABA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 регистрация </w:t>
      </w:r>
      <w:r w:rsidR="00AD011F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прилагаемых документов;</w:t>
      </w:r>
    </w:p>
    <w:p w:rsidR="009E7BE5" w:rsidRPr="00160ABA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</w:t>
      </w:r>
      <w:r w:rsidR="00366B96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66B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185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письма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заявителю.</w:t>
      </w:r>
    </w:p>
    <w:p w:rsidR="009E7BE5" w:rsidRPr="00160ABA" w:rsidRDefault="009E7BE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3.2. Блок-схема предоставления муниципальной услуги приведена в приложении к настоящему административному регламенту</w:t>
      </w:r>
      <w:bookmarkStart w:id="3" w:name="_ftnref5"/>
      <w:bookmarkEnd w:id="3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6B96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6B96" w:rsidRPr="00366B96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B96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Прием и регистрация уведомления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прилагаемых документов</w:t>
      </w:r>
    </w:p>
    <w:p w:rsidR="00366B96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60C99" w:rsidRDefault="00260C99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</w:t>
      </w:r>
      <w:r w:rsidR="00B00234">
        <w:rPr>
          <w:rFonts w:ascii="Times New Roman" w:hAnsi="Times New Roman" w:cs="Times New Roman"/>
          <w:sz w:val="28"/>
          <w:szCs w:val="28"/>
        </w:rPr>
        <w:t>ступление в Администрацию округа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документов.</w:t>
      </w:r>
    </w:p>
    <w:p w:rsidR="00260C99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60C99">
        <w:rPr>
          <w:rFonts w:ascii="Times New Roman" w:hAnsi="Times New Roman" w:cs="Times New Roman"/>
          <w:sz w:val="28"/>
          <w:szCs w:val="28"/>
        </w:rPr>
        <w:t xml:space="preserve">.2. 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260C99">
        <w:rPr>
          <w:rFonts w:ascii="Times New Roman" w:hAnsi="Times New Roman" w:cs="Times New Roman"/>
          <w:sz w:val="28"/>
          <w:szCs w:val="28"/>
        </w:rPr>
        <w:t>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260C99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60C99">
        <w:rPr>
          <w:rFonts w:ascii="Times New Roman" w:hAnsi="Times New Roman" w:cs="Times New Roman"/>
          <w:sz w:val="28"/>
          <w:szCs w:val="28"/>
        </w:rPr>
        <w:t>.3. В случае е</w:t>
      </w:r>
      <w:r w:rsidR="00260C99">
        <w:rPr>
          <w:rFonts w:ascii="Times New Roman" w:eastAsia="Calibri" w:hAnsi="Times New Roman" w:cs="Times New Roman"/>
          <w:sz w:val="28"/>
          <w:szCs w:val="28"/>
        </w:rPr>
        <w:t xml:space="preserve">сли заявление и прилагаемые документы представляются заявителем  в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Администрацию округа</w:t>
      </w:r>
      <w:r w:rsidR="00260C99">
        <w:rPr>
          <w:rFonts w:ascii="Times New Roman" w:eastAsia="Calibri" w:hAnsi="Times New Roman" w:cs="Times New Roman"/>
          <w:sz w:val="28"/>
          <w:szCs w:val="28"/>
        </w:rPr>
        <w:t xml:space="preserve"> (МФЦ) лично, </w:t>
      </w:r>
      <w:r w:rsidR="00260C9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260C99">
        <w:rPr>
          <w:rFonts w:ascii="Times New Roman" w:hAnsi="Times New Roman" w:cs="Times New Roman"/>
          <w:sz w:val="28"/>
          <w:szCs w:val="28"/>
        </w:rPr>
        <w:t xml:space="preserve"> (МФЦ), ответственное за прием и регистрацию заявления </w:t>
      </w:r>
      <w:r w:rsidR="00260C99">
        <w:rPr>
          <w:rFonts w:ascii="Times New Roman" w:eastAsia="Calibri" w:hAnsi="Times New Roman" w:cs="Times New Roman"/>
          <w:sz w:val="28"/>
          <w:szCs w:val="28"/>
        </w:rPr>
        <w:t xml:space="preserve"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специалистром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округа</w:t>
      </w:r>
      <w:r w:rsidR="00260C99">
        <w:rPr>
          <w:rFonts w:ascii="Times New Roman" w:eastAsia="Calibri" w:hAnsi="Times New Roman" w:cs="Times New Roman"/>
          <w:sz w:val="28"/>
          <w:szCs w:val="28"/>
        </w:rPr>
        <w:t xml:space="preserve"> (МФЦ) таких документов.</w:t>
      </w:r>
    </w:p>
    <w:p w:rsidR="00260C99" w:rsidRDefault="00260C99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</w:t>
      </w:r>
      <w:r w:rsidR="00B00234">
        <w:rPr>
          <w:rFonts w:ascii="Times New Roman" w:hAnsi="Times New Roman" w:cs="Times New Roman"/>
          <w:sz w:val="28"/>
          <w:szCs w:val="28"/>
        </w:rPr>
        <w:t>Администрацией округа</w:t>
      </w:r>
      <w:r>
        <w:rPr>
          <w:rFonts w:ascii="Times New Roman" w:hAnsi="Times New Roman" w:cs="Times New Roman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</w:t>
      </w:r>
      <w:r w:rsidR="00B00234">
        <w:rPr>
          <w:rFonts w:ascii="Times New Roman" w:hAnsi="Times New Roman" w:cs="Times New Roman"/>
          <w:sz w:val="28"/>
          <w:szCs w:val="28"/>
        </w:rPr>
        <w:t xml:space="preserve">Администрацией округа </w:t>
      </w:r>
      <w:r>
        <w:rPr>
          <w:rFonts w:ascii="Times New Roman" w:hAnsi="Times New Roman" w:cs="Times New Roman"/>
          <w:sz w:val="28"/>
          <w:szCs w:val="28"/>
        </w:rPr>
        <w:t>документов.</w:t>
      </w:r>
    </w:p>
    <w:p w:rsidR="00260C99" w:rsidRDefault="00260C99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</w:t>
      </w:r>
      <w:r w:rsidR="00B00234">
        <w:rPr>
          <w:rFonts w:ascii="Times New Roman" w:hAnsi="Times New Roman" w:cs="Times New Roman"/>
          <w:sz w:val="28"/>
          <w:szCs w:val="28"/>
        </w:rPr>
        <w:t>Администрацией округа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B00234">
        <w:rPr>
          <w:rFonts w:ascii="Times New Roman" w:hAnsi="Times New Roman" w:cs="Times New Roman"/>
          <w:sz w:val="28"/>
          <w:szCs w:val="28"/>
        </w:rPr>
        <w:t>Администрацией округа</w:t>
      </w:r>
      <w:r>
        <w:rPr>
          <w:rFonts w:ascii="Times New Roman" w:hAnsi="Times New Roman" w:cs="Times New Roman"/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документов.</w:t>
      </w:r>
    </w:p>
    <w:p w:rsidR="00260C99" w:rsidRDefault="00260C99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260C99" w:rsidRDefault="00260C99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</w:t>
      </w:r>
      <w:r w:rsidR="00B00234">
        <w:rPr>
          <w:rFonts w:ascii="Times New Roman" w:hAnsi="Times New Roman" w:cs="Times New Roman"/>
          <w:sz w:val="28"/>
          <w:szCs w:val="28"/>
        </w:rPr>
        <w:t>Администрацию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C99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60C99">
        <w:rPr>
          <w:rFonts w:ascii="Times New Roman" w:hAnsi="Times New Roman" w:cs="Times New Roman"/>
          <w:sz w:val="28"/>
          <w:szCs w:val="28"/>
        </w:rPr>
        <w:t xml:space="preserve">.4. После регистрации заявление и прилагаемые к нему документы направляются для рассмотрения должностному лицу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260C99">
        <w:rPr>
          <w:rFonts w:ascii="Times New Roman" w:hAnsi="Times New Roman" w:cs="Times New Roman"/>
          <w:sz w:val="28"/>
          <w:szCs w:val="28"/>
        </w:rPr>
        <w:t xml:space="preserve">, </w:t>
      </w:r>
      <w:r w:rsidR="00260C99">
        <w:rPr>
          <w:rFonts w:ascii="Times New Roman" w:hAnsi="Times New Roman" w:cs="Times New Roman"/>
          <w:sz w:val="28"/>
          <w:szCs w:val="28"/>
        </w:rPr>
        <w:lastRenderedPageBreak/>
        <w:t>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60C99" w:rsidRDefault="00260C99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02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 Срок выполнения данной административной процедуры составляет 1 рабочий день со дня поступления заявления</w:t>
      </w:r>
      <w:r>
        <w:rPr>
          <w:rFonts w:ascii="Times New Roman" w:eastAsia="0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60C99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60C99">
        <w:rPr>
          <w:rFonts w:ascii="Times New Roman" w:hAnsi="Times New Roman" w:cs="Times New Roman"/>
          <w:sz w:val="28"/>
          <w:szCs w:val="28"/>
        </w:rPr>
        <w:t>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366B96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6B96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6B96">
        <w:rPr>
          <w:rFonts w:ascii="Times New Roman" w:eastAsia="Times New Roman" w:hAnsi="Times New Roman" w:cs="Times New Roman"/>
          <w:iCs/>
          <w:sz w:val="28"/>
          <w:szCs w:val="28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ассмотрение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</w:t>
      </w:r>
    </w:p>
    <w:p w:rsidR="00366B96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 является, получение уведомления о планируемом сносе объекта капитального строительства, либо уведомления о завершении сноса объекта капитального строительства специалистом, ответственным за предоставление муниципальной услуги на рассмотрение.</w:t>
      </w:r>
      <w:proofErr w:type="gramEnd"/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>
        <w:rPr>
          <w:rFonts w:ascii="Times New Roman" w:hAnsi="Times New Roman" w:cs="Times New Roman"/>
          <w:sz w:val="28"/>
          <w:szCs w:val="28"/>
          <w:lang w:eastAsia="zh-CN"/>
        </w:rPr>
        <w:t>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Если в случае проверки электронной подписи установлено несоблюдение условий признания ее действительности, специалист, </w:t>
      </w:r>
      <w:r>
        <w:rPr>
          <w:rFonts w:ascii="Times New Roman" w:hAnsi="Times New Roman" w:cs="Times New Roman"/>
          <w:sz w:val="28"/>
          <w:szCs w:val="28"/>
        </w:rPr>
        <w:lastRenderedPageBreak/>
        <w:t>ответственный за предоставление муниципальной услуги, в течение 1 рабочего дня со дня окончания указанной проверки: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готовит уведомление об отказе в принятии уведомления и прилагаемых документов с указанием причин их возврата за подписью  Главы муниципального округа;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Главы муниципального округа, по адресу электронной почты заявителя.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уведомлением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поступления запроса  и прилагаемых документов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 носителе, а также в случае, если в результате проверки электронной подписи установлено соблюдение условий признания ее действительности (при поступлении запроса и прилагаемых документов в электронном виде) специалист, ответственный за предоставление муниципальной услуги, устанавливает наличие или отсутствие оснований в приеме к рассмотрению уведомления, в части планируемого сноса объекта капитального строительства, предусмотренных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2.9. настоящего административного регламента.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таких оснований специалист, ответственный за предоставление муниципальной услуги в течение одного рабочего дня подготавливает письмо об отказе в приеме документов к рассмотрению. 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3.4.5. В случае отсутствия документов, в части планируемого сноса объекта капитального строительства, указанных в абзацах а) и б) подпункта 2.6.1. настоящего административного регламента специалист, ответственный за предоставление муниципальной услуги, запрашивает их у заявителя.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3.4.6.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по своему усмотрению не представил документы, указанные в подпункте 2.7.1. настоящего административного регламента специалист, ответственный за предоставление муниципальной услуги, в течение 2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подпунктом 2.7.1. настоящего административного регламента.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3.4.7. После получения документов, запрашиваемых посредством межведомственного запроса специалист, ответственный за предоставление муниципальной услуги, в течение пяти рабочих дней со дня поступления уведомления проводит проверку данных документов, и обеспечивает: 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размещение уведомления о планируемом сносе объекта капитального строительства и приложенных к нему документов, либо уведомления о завершении сноса объекта капитального строительства в информационной системе обеспечения градостроительной деятельности;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готовит письмо о размещении уведомлений в информационной системе обеспечения градостроительной деятельности (ИСОГД) в орган исполнительной власти Вологодской области, осуществляющий государственный строительный надзор, в форме письма Администрации округа;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готовит проект информационного письма заявителю/ представителю заявителя с информацией о размещении уведомления о планируемом сносе объекта капитального строительства, либо уведомления о завершении сноса объекта капитального строительства в ИСОГД.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3.4.8. Подготовленные экземпляры письма о размещении уведомлений в ИСОГД и информационного письма заявителю либо письма об отказе в предоставлении муниципальной услуги подписываются руководителем Уполномоченного органа, заверяются печатью Администрации округа и передаются специалисту, ответственному за предоставление муниципальной услуги. 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3.4.9. Максимальный срок выполнения административной процедуры 5 рабочих дней со дня регистрации уведомления и прилагаемых документов  в </w:t>
      </w:r>
      <w:r w:rsidR="001C7D84">
        <w:rPr>
          <w:rFonts w:ascii="Times New Roman" w:hAnsi="Times New Roman" w:cs="Times New Roman"/>
          <w:sz w:val="28"/>
          <w:szCs w:val="28"/>
        </w:rPr>
        <w:t>Администрации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3.4.10. Критерием принятия решения в рамках выполнения административной процедуры является отсутствие оснований для отказа в предоставлении муниципальной услуги предусмотренных пунктом 2.9. настоящего административного регламента. </w:t>
      </w:r>
    </w:p>
    <w:p w:rsidR="00B00234" w:rsidRDefault="00B0023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3.4.11. Результатом выполнения данной административной процедуры является передача подписанного </w:t>
      </w:r>
      <w:r w:rsidR="001C7D84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информационного письма заявителю либо письма об отказе в предоставлении муниципальной услуги.</w:t>
      </w:r>
    </w:p>
    <w:p w:rsidR="00366B96" w:rsidRDefault="00366B96" w:rsidP="00366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66B96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B96" w:rsidRPr="00160ABA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В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ыдача (направление) 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письма заявителю</w:t>
      </w:r>
    </w:p>
    <w:p w:rsidR="00366B96" w:rsidRDefault="00366B96" w:rsidP="00366B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специалисту, ответственному за предоставление муниципальной услуги, 2-х экземпляров подписанного и зарегистрированного информационного письма заявителю либо письма об отказе в предоставлении муниципальной услуги.</w:t>
      </w:r>
      <w:proofErr w:type="gramEnd"/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3.5.2. Направление (вручение) информационного письма либо письма об отказе в приеме документов к рассмотрению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специалистом Администрации округа, ответственным за предоставление муниципальной услуги, в течение 1 рабочего дня со дня принятия решения Администрации округа. Выдача информационного письма либо письма об отказе в предоставлении муниципальной услуги:</w:t>
      </w:r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путем вручения заявителю или его законному представителю по доверенности;</w:t>
      </w:r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3) через личный кабинет на Едином портале (возможно при подаче заявления посредством Единого портала);</w:t>
      </w:r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4) через МФЦ (возможно при подаче заявления в МФЦ);</w:t>
      </w:r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5) путем направления по электронной почте.</w:t>
      </w:r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Заявителю направляется экземпляр информационного письма либо письма об отказе в приеме документов к рассмотрению, второй экземпляр разрешения хранится в системе делопроизводства Администрации округа.</w:t>
      </w:r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3.5.3. Срок выполнения административной процедуры составляет 1 рабочий день.</w:t>
      </w:r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3.5.4. Критерием принятия решения в рамках выполнения административной процедуры является:</w:t>
      </w:r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наличие подписанного информационного письма либо письма об отказе в предоставлении муниципальной услуги.</w:t>
      </w:r>
    </w:p>
    <w:p w:rsidR="001C7D84" w:rsidRDefault="001C7D84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3.5.5. Результатом выполнения данной административной процедуры является направление (вручение) заявителю информационного письма либо письма об отказе в предоставлении муниципальной услуги.</w:t>
      </w:r>
    </w:p>
    <w:p w:rsidR="00366B96" w:rsidRPr="00366B96" w:rsidRDefault="00366B96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54D0" w:rsidRPr="00160ABA" w:rsidRDefault="001854D0" w:rsidP="001854D0">
      <w:pPr>
        <w:pStyle w:val="4"/>
        <w:spacing w:before="0"/>
      </w:pPr>
      <w:r w:rsidRPr="00160ABA">
        <w:rPr>
          <w:lang w:val="en-US"/>
        </w:rPr>
        <w:t>IV</w:t>
      </w:r>
      <w:r w:rsidRPr="00160ABA">
        <w:t>. Формы контроля за исполнением</w:t>
      </w:r>
    </w:p>
    <w:p w:rsidR="001854D0" w:rsidRPr="00160ABA" w:rsidRDefault="001854D0" w:rsidP="001854D0">
      <w:pPr>
        <w:pStyle w:val="4"/>
        <w:spacing w:before="0"/>
      </w:pPr>
      <w:r w:rsidRPr="00160ABA">
        <w:t>административного регламента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4.1.</w:t>
      </w:r>
      <w:r w:rsidRPr="00160A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0ABA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>.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4.3. Контроль над полнотой и качеством </w:t>
      </w:r>
      <w:r w:rsidRPr="00160ABA">
        <w:rPr>
          <w:spacing w:val="-4"/>
          <w:sz w:val="28"/>
          <w:szCs w:val="28"/>
        </w:rPr>
        <w:t xml:space="preserve">предоставления </w:t>
      </w:r>
      <w:r w:rsidRPr="00160ABA">
        <w:rPr>
          <w:spacing w:val="-4"/>
          <w:sz w:val="28"/>
          <w:szCs w:val="28"/>
        </w:rPr>
        <w:lastRenderedPageBreak/>
        <w:t>муниципальной услуги</w:t>
      </w:r>
      <w:r w:rsidRPr="00160ABA">
        <w:rPr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Контроль над полнотой и качеством </w:t>
      </w:r>
      <w:r w:rsidRPr="00160ABA">
        <w:rPr>
          <w:spacing w:val="-4"/>
          <w:sz w:val="28"/>
          <w:szCs w:val="28"/>
        </w:rPr>
        <w:t xml:space="preserve">предоставления муниципальной услуги </w:t>
      </w:r>
      <w:r w:rsidRPr="00160ABA">
        <w:rPr>
          <w:sz w:val="28"/>
          <w:szCs w:val="28"/>
        </w:rPr>
        <w:t xml:space="preserve">осуществляют должностные лица, определенные муниципальным правовым актом </w:t>
      </w:r>
      <w:r w:rsidR="005A2BFF">
        <w:rPr>
          <w:sz w:val="28"/>
          <w:szCs w:val="28"/>
        </w:rPr>
        <w:t>Администрации округа</w:t>
      </w:r>
      <w:r w:rsidRPr="00160ABA">
        <w:rPr>
          <w:sz w:val="28"/>
          <w:szCs w:val="28"/>
        </w:rPr>
        <w:t>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</w:t>
      </w:r>
      <w:r w:rsidR="005A2BFF">
        <w:rPr>
          <w:sz w:val="28"/>
          <w:szCs w:val="28"/>
        </w:rPr>
        <w:t>Администрации округа</w:t>
      </w:r>
      <w:r w:rsidRPr="00160ABA">
        <w:rPr>
          <w:sz w:val="28"/>
          <w:szCs w:val="28"/>
        </w:rPr>
        <w:t>) и внеплановыми.</w:t>
      </w:r>
    </w:p>
    <w:p w:rsidR="001854D0" w:rsidRPr="00160ABA" w:rsidRDefault="001854D0" w:rsidP="001854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1854D0" w:rsidRPr="00160ABA" w:rsidRDefault="001854D0" w:rsidP="001854D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160ABA">
        <w:rPr>
          <w:sz w:val="28"/>
          <w:szCs w:val="28"/>
        </w:rPr>
        <w:t>который</w:t>
      </w:r>
      <w:proofErr w:type="gramEnd"/>
      <w:r w:rsidRPr="00160ABA">
        <w:rPr>
          <w:sz w:val="28"/>
          <w:szCs w:val="28"/>
        </w:rPr>
        <w:t xml:space="preserve"> представляется </w:t>
      </w:r>
      <w:r w:rsidR="004A265B">
        <w:rPr>
          <w:sz w:val="28"/>
          <w:szCs w:val="28"/>
        </w:rPr>
        <w:t>Главе муниципального</w:t>
      </w:r>
      <w:r w:rsidR="005A2BFF">
        <w:rPr>
          <w:sz w:val="28"/>
          <w:szCs w:val="28"/>
        </w:rPr>
        <w:t xml:space="preserve"> округа</w:t>
      </w:r>
      <w:r w:rsidRPr="00160ABA">
        <w:rPr>
          <w:sz w:val="28"/>
          <w:szCs w:val="28"/>
        </w:rPr>
        <w:t xml:space="preserve"> в течение 10 рабочих дней после завершения проверки.</w:t>
      </w:r>
    </w:p>
    <w:p w:rsidR="001854D0" w:rsidRPr="00160ABA" w:rsidRDefault="001854D0" w:rsidP="001854D0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854D0" w:rsidRPr="00160ABA" w:rsidRDefault="001854D0" w:rsidP="001854D0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к ответственности в соответствии с действующим законодательством Российской Федерации.</w:t>
      </w:r>
    </w:p>
    <w:p w:rsidR="001854D0" w:rsidRPr="00160ABA" w:rsidRDefault="001854D0" w:rsidP="001854D0">
      <w:pPr>
        <w:pStyle w:val="ConsPlusNormal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160ABA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60ABA">
        <w:rPr>
          <w:sz w:val="28"/>
          <w:szCs w:val="28"/>
        </w:rPr>
        <w:t>Российской Федерации</w:t>
      </w:r>
      <w:r w:rsidRPr="00160ABA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60ABA">
        <w:rPr>
          <w:sz w:val="28"/>
          <w:szCs w:val="28"/>
        </w:rPr>
        <w:t xml:space="preserve">возлагается на лиц, замещающих должности в </w:t>
      </w:r>
      <w:r w:rsidR="00922A9E">
        <w:rPr>
          <w:sz w:val="28"/>
          <w:szCs w:val="28"/>
        </w:rPr>
        <w:t xml:space="preserve">Администрации округа </w:t>
      </w:r>
      <w:r w:rsidRPr="00160ABA">
        <w:rPr>
          <w:sz w:val="28"/>
          <w:szCs w:val="28"/>
        </w:rPr>
        <w:t>и работников МФЦ, ответственных за предоставление муниципальной услуги.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854D0" w:rsidRPr="00160ABA" w:rsidRDefault="001854D0" w:rsidP="001854D0">
      <w:pPr>
        <w:pStyle w:val="ConsPlusNormal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</w:p>
    <w:p w:rsidR="001854D0" w:rsidRPr="00160ABA" w:rsidRDefault="001854D0" w:rsidP="00185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V. Досудебный (внесудебный) порядок обжалований решений и действий (бездействия)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>, его должностных лиц либо муниципальных служащих, МФЦ, его работников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="00922A9E"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="00922A9E"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922A9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 </w:t>
      </w:r>
      <w:r w:rsidR="00922A9E"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Pr="00160ABA">
        <w:rPr>
          <w:rFonts w:ascii="Times New Roman" w:hAnsi="Times New Roman" w:cs="Times New Roman"/>
          <w:sz w:val="28"/>
          <w:szCs w:val="28"/>
        </w:rPr>
        <w:t>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160ABA">
        <w:rPr>
          <w:rFonts w:ascii="Times New Roman" w:hAnsi="Times New Roman" w:cs="Times New Roman"/>
          <w:sz w:val="28"/>
          <w:szCs w:val="28"/>
        </w:rPr>
        <w:lastRenderedPageBreak/>
        <w:t xml:space="preserve">области, муниципальными правовыми актами </w:t>
      </w:r>
      <w:r w:rsidR="00922A9E"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160ABA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A2BFF">
        <w:rPr>
          <w:rFonts w:ascii="Times New Roman" w:eastAsia="Calibri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eastAsia="Calibri" w:hAnsi="Times New Roman" w:cs="Times New Roman"/>
          <w:sz w:val="28"/>
          <w:szCs w:val="28"/>
        </w:rPr>
        <w:t xml:space="preserve">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5A2BFF">
        <w:rPr>
          <w:rFonts w:ascii="Times New Roman" w:eastAsia="Calibri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eastAsia="Calibri" w:hAnsi="Times New Roman" w:cs="Times New Roman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160ABA">
        <w:rPr>
          <w:rFonts w:ascii="Times New Roman" w:eastAsia="Calibri" w:hAnsi="Times New Roman" w:cs="Times New Roman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1854D0" w:rsidRPr="00160ABA" w:rsidRDefault="001854D0" w:rsidP="001854D0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, его должностного лица, муниципального служащего либо руководителя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>, Единого портала либо Регионального портала, а также может быть принята при личном приеме заявителя.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(бездействие) </w:t>
      </w:r>
      <w:r w:rsidR="005A2BFF">
        <w:rPr>
          <w:sz w:val="28"/>
          <w:szCs w:val="28"/>
        </w:rPr>
        <w:t>Администрации округа</w:t>
      </w:r>
      <w:r w:rsidRPr="00160ABA">
        <w:rPr>
          <w:sz w:val="28"/>
          <w:szCs w:val="28"/>
        </w:rPr>
        <w:t>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1854D0" w:rsidRPr="00160ABA" w:rsidRDefault="001854D0" w:rsidP="001854D0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, муниципальных служащих – </w:t>
      </w:r>
      <w:r w:rsidR="00922A9E">
        <w:rPr>
          <w:rFonts w:ascii="Times New Roman" w:hAnsi="Times New Roman" w:cs="Times New Roman"/>
          <w:sz w:val="28"/>
          <w:szCs w:val="28"/>
        </w:rPr>
        <w:t>Главе муниципального округа</w:t>
      </w:r>
      <w:r w:rsidRPr="00160ABA">
        <w:rPr>
          <w:rFonts w:ascii="Times New Roman" w:hAnsi="Times New Roman" w:cs="Times New Roman"/>
          <w:sz w:val="28"/>
          <w:szCs w:val="28"/>
        </w:rPr>
        <w:t>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работника МФЦ - руководителю МФЦ;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руководителя МФЦ, МФЦ - органу местного самоуправления, являющемуся учредителем МФЦ.</w:t>
      </w:r>
    </w:p>
    <w:p w:rsidR="00922A9E" w:rsidRDefault="001854D0">
      <w:pPr>
        <w:spacing w:after="0"/>
        <w:ind w:firstLine="737"/>
        <w:jc w:val="both"/>
        <w:rPr>
          <w:rFonts w:ascii="Times New Roman" w:hAnsi="Times New Roman" w:cs="Times New Roman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922A9E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 муниципального округа, должностных лиц и муниципальных служащих администрации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</w:t>
      </w:r>
      <w:r w:rsidR="00922A9E">
        <w:rPr>
          <w:rStyle w:val="-"/>
          <w:rFonts w:ascii="Times New Roman" w:eastAsia="Times New Roman" w:hAnsi="Times New Roman"/>
          <w:sz w:val="28"/>
          <w:szCs w:val="28"/>
        </w:rPr>
        <w:t xml:space="preserve">Федеральным законом </w:t>
      </w:r>
      <w:r w:rsidR="00922A9E">
        <w:rPr>
          <w:rFonts w:ascii="Times New Roman" w:hAnsi="Times New Roman" w:cs="Times New Roman"/>
          <w:sz w:val="28"/>
          <w:szCs w:val="28"/>
        </w:rPr>
        <w:t>от 27 июля 2010 года №210-ФЗ «Об организации предоставления государственных и муниципальных услуг», с учетом</w:t>
      </w:r>
      <w:proofErr w:type="gramEnd"/>
      <w:r w:rsidR="00922A9E">
        <w:rPr>
          <w:rFonts w:ascii="Times New Roman" w:hAnsi="Times New Roman" w:cs="Times New Roman"/>
          <w:sz w:val="28"/>
          <w:szCs w:val="28"/>
        </w:rPr>
        <w:t xml:space="preserve"> следующих особенностей: </w:t>
      </w:r>
    </w:p>
    <w:p w:rsidR="00922A9E" w:rsidRDefault="00922A9E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5.5.1. В случае обжалования решений и действий (бездействия) Администрации муниципального округа, должностных лиц и муниципальных служащих Администрации муниципального округа, а также решений и действий (бездействия) многофункционального центра, работников многофункционального центра жалоба подлежит рассмотрению на заседании комиссии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повышению качества и доступности предоставления муниципальных услуг в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(далее - Комиссия).</w:t>
      </w:r>
    </w:p>
    <w:p w:rsidR="00922A9E" w:rsidRDefault="00922A9E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5.5.2. Комиссия является постоянно действующим коллегиальным органом. Состав комиссии и порядок ее работы утверждается постановлением Администрации муниципального округа. </w:t>
      </w:r>
    </w:p>
    <w:p w:rsidR="00922A9E" w:rsidRDefault="00922A9E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5.5.3.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 установленного срока таких исправлений - в течение пяти рабочих дней со дня ее регистрации.</w:t>
      </w:r>
      <w:proofErr w:type="gramEnd"/>
    </w:p>
    <w:p w:rsidR="00922A9E" w:rsidRDefault="00922A9E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Жалоба подлежит регистрации в день ее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22A9E" w:rsidRDefault="00922A9E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муниципального округа проект мотивированного ответа заявителю о результатах рассмотрения жалобы для принятия Главой муниципального округа решения об удовлетворении либо об отказе в удовлетворении жалобы.</w:t>
      </w:r>
    </w:p>
    <w:p w:rsidR="00922A9E" w:rsidRDefault="00922A9E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в виде протокола заседания комиссии. Решение комиссии носит рекомендательный характер. </w:t>
      </w:r>
    </w:p>
    <w:p w:rsidR="00922A9E" w:rsidRDefault="00922A9E">
      <w:pPr>
        <w:spacing w:after="0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5.5.5. Мотивированный ответ о результатах рассмотрения жалобы подписывается Главой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его работника;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922A9E"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, МФЦ, учредителю МФЦ, рассматривается в течение 15 рабочих дней со дня ее регистрации, а в случае обжалования отказа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5A2BFF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Pr="00160ABA">
        <w:rPr>
          <w:rFonts w:ascii="Times New Roman" w:hAnsi="Times New Roman" w:cs="Times New Roman"/>
          <w:sz w:val="28"/>
          <w:szCs w:val="28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5.8. По результатам рассмотрения жалобы принимается одно из следующих решений: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1854D0" w:rsidRPr="00160ABA" w:rsidRDefault="001854D0" w:rsidP="0018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54D0" w:rsidRPr="00160ABA" w:rsidRDefault="001854D0" w:rsidP="001854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AD7355" w:rsidRPr="00160ABA" w:rsidRDefault="00AD7355" w:rsidP="00CE30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4D0" w:rsidRPr="00160ABA" w:rsidRDefault="001854D0" w:rsidP="00065E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854D0" w:rsidRPr="00160ABA" w:rsidSect="005A2BF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E7BE5" w:rsidRPr="00160ABA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F12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gramStart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7BE5" w:rsidRPr="00160ABA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 регламенту</w:t>
      </w:r>
    </w:p>
    <w:p w:rsidR="009E7BE5" w:rsidRPr="00160ABA" w:rsidRDefault="009E7BE5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БЛОК-СХЕМА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последовательности административных процедур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 предоставлении муниципальной услуги</w:t>
      </w:r>
      <w:bookmarkStart w:id="4" w:name="_ftnref7"/>
      <w:bookmarkEnd w:id="4"/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</w:tblGrid>
      <w:tr w:rsidR="009E7BE5" w:rsidRPr="00160ABA" w:rsidTr="006B5591">
        <w:trPr>
          <w:trHeight w:val="776"/>
          <w:jc w:val="center"/>
        </w:trPr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E7BE5" w:rsidRPr="00160ABA" w:rsidRDefault="009E7BE5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и регистрация </w:t>
            </w:r>
            <w:r w:rsidR="00AD011F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</w:t>
            </w: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прилагаемых документов</w:t>
            </w:r>
          </w:p>
          <w:p w:rsidR="009E7BE5" w:rsidRPr="00160ABA" w:rsidRDefault="00150E36" w:rsidP="00CE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193040</wp:posOffset>
                      </wp:positionV>
                      <wp:extent cx="9525" cy="419100"/>
                      <wp:effectExtent l="47625" t="9525" r="5715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34.75pt;margin-top:15.2pt;width: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E7BE5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</w:tblGrid>
      <w:tr w:rsidR="009E7BE5" w:rsidRPr="00160ABA" w:rsidTr="006B5591">
        <w:trPr>
          <w:trHeight w:val="1007"/>
          <w:jc w:val="center"/>
        </w:trPr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E7BE5" w:rsidRPr="00160ABA" w:rsidRDefault="009E7BE5" w:rsidP="00CE30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AD011F"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</w:t>
            </w:r>
            <w:r w:rsidRPr="00160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принятие решения </w:t>
            </w:r>
          </w:p>
        </w:tc>
      </w:tr>
    </w:tbl>
    <w:p w:rsidR="009E7BE5" w:rsidRPr="00160ABA" w:rsidRDefault="00150E36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7620</wp:posOffset>
                </wp:positionV>
                <wp:extent cx="0" cy="381000"/>
                <wp:effectExtent l="57150" t="6350" r="57150" b="222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2.95pt;margin-top:.6pt;width:0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Xo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">
                <v:stroke endarrow="block"/>
              </v:shape>
            </w:pict>
          </mc:Fallback>
        </mc:AlternateContent>
      </w:r>
      <w:r w:rsidR="009E7BE5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CE30AF" w:rsidRDefault="009E7BE5" w:rsidP="00DF06E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shd w:val="clear" w:color="auto" w:fill="FFFFFF"/>
        <w:spacing w:after="0" w:line="240" w:lineRule="auto"/>
        <w:ind w:left="1980" w:right="1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письма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заявителю </w:t>
      </w:r>
    </w:p>
    <w:p w:rsidR="00A1722D" w:rsidRDefault="00A1722D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F12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gramStart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E7BE5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 регламенту</w:t>
      </w:r>
    </w:p>
    <w:p w:rsidR="00F12A54" w:rsidRDefault="00F12A54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663" w:rsidRDefault="00F12A54">
      <w:pPr>
        <w:spacing w:after="120" w:line="240" w:lineRule="auto"/>
        <w:jc w:val="center"/>
      </w:pPr>
      <w:r>
        <w:rPr>
          <w:rFonts w:ascii="Tinos" w:hAnsi="Tinos" w:cs="Tinos"/>
          <w:sz w:val="20"/>
          <w:szCs w:val="20"/>
        </w:rPr>
        <w:t>Уведомление о планируемом сносе объекта капитального строительства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"/>
        <w:gridCol w:w="398"/>
        <w:gridCol w:w="255"/>
        <w:gridCol w:w="1360"/>
        <w:gridCol w:w="397"/>
        <w:gridCol w:w="399"/>
        <w:gridCol w:w="338"/>
      </w:tblGrid>
      <w:tr w:rsidR="002B3663">
        <w:trPr>
          <w:jc w:val="right"/>
        </w:trPr>
        <w:tc>
          <w:tcPr>
            <w:tcW w:w="224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  <w:jc w:val="right"/>
            </w:pPr>
            <w:r>
              <w:rPr>
                <w:rFonts w:ascii="Tinos" w:hAnsi="Tinos" w:cs="Tinos"/>
                <w:sz w:val="20"/>
                <w:szCs w:val="20"/>
              </w:rPr>
              <w:t>«</w:t>
            </w:r>
          </w:p>
        </w:tc>
        <w:tc>
          <w:tcPr>
            <w:tcW w:w="398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</w:pPr>
            <w:r>
              <w:rPr>
                <w:rFonts w:ascii="Tinos" w:hAnsi="Tinos" w:cs="Tinos"/>
                <w:sz w:val="20"/>
                <w:szCs w:val="20"/>
              </w:rPr>
              <w:t>»</w:t>
            </w:r>
          </w:p>
        </w:tc>
        <w:tc>
          <w:tcPr>
            <w:tcW w:w="1360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  <w:jc w:val="right"/>
            </w:pPr>
            <w:r>
              <w:rPr>
                <w:rFonts w:ascii="Tinos" w:hAnsi="Tinos" w:cs="Tinos"/>
                <w:sz w:val="20"/>
                <w:szCs w:val="20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proofErr w:type="gramStart"/>
            <w:r>
              <w:rPr>
                <w:rFonts w:ascii="Tinos" w:hAnsi="Tinos" w:cs="Tinos"/>
                <w:sz w:val="20"/>
                <w:szCs w:val="20"/>
              </w:rPr>
              <w:t>г</w:t>
            </w:r>
            <w:proofErr w:type="gramEnd"/>
            <w:r>
              <w:rPr>
                <w:rFonts w:ascii="Tinos" w:hAnsi="Tinos" w:cs="Tinos"/>
                <w:sz w:val="20"/>
                <w:szCs w:val="20"/>
              </w:rPr>
              <w:t>.</w:t>
            </w:r>
          </w:p>
        </w:tc>
      </w:tr>
    </w:tbl>
    <w:p w:rsidR="002B3663" w:rsidRDefault="002B3663">
      <w:pPr>
        <w:widowControl w:val="0"/>
        <w:spacing w:before="120" w:after="120" w:line="240" w:lineRule="auto"/>
        <w:jc w:val="center"/>
        <w:rPr>
          <w:rFonts w:ascii="Tinos" w:hAnsi="Tinos" w:cs="Tinos"/>
          <w:sz w:val="20"/>
          <w:szCs w:val="20"/>
        </w:rPr>
      </w:pPr>
    </w:p>
    <w:p w:rsidR="002B3663" w:rsidRDefault="002B3663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nos" w:hAnsi="Tinos" w:cs="Tinos"/>
          <w:sz w:val="20"/>
          <w:szCs w:val="20"/>
        </w:rPr>
      </w:pPr>
    </w:p>
    <w:p w:rsidR="002B3663" w:rsidRDefault="002B3663">
      <w:pPr>
        <w:spacing w:after="0" w:line="240" w:lineRule="auto"/>
        <w:jc w:val="center"/>
        <w:rPr>
          <w:rFonts w:ascii="Tinos" w:hAnsi="Tinos" w:cs="Tinos"/>
          <w:sz w:val="20"/>
          <w:szCs w:val="20"/>
        </w:rPr>
      </w:pPr>
    </w:p>
    <w:p w:rsidR="002B3663" w:rsidRDefault="00F12A54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240" w:line="240" w:lineRule="auto"/>
        <w:jc w:val="center"/>
      </w:pPr>
      <w:r>
        <w:rPr>
          <w:rFonts w:ascii="Tinos" w:hAnsi="Tinos" w:cs="Tinos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2B3663" w:rsidRDefault="00F12A54">
      <w:pPr>
        <w:spacing w:after="120" w:line="240" w:lineRule="auto"/>
        <w:jc w:val="center"/>
      </w:pPr>
      <w:r>
        <w:rPr>
          <w:rFonts w:ascii="Tinos" w:hAnsi="Tinos" w:cs="Tinos"/>
          <w:sz w:val="20"/>
          <w:szCs w:val="20"/>
        </w:rPr>
        <w:t>1. Сведения о застройщике, техническом заказчике</w:t>
      </w:r>
    </w:p>
    <w:tbl>
      <w:tblPr>
        <w:tblW w:w="0" w:type="auto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4056"/>
        <w:gridCol w:w="4991"/>
      </w:tblGrid>
      <w:tr w:rsidR="002B366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1.1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Сведения о физическом лице,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в случае если застройщиком является физическое лицо:</w:t>
            </w:r>
          </w:p>
        </w:tc>
        <w:tc>
          <w:tcPr>
            <w:tcW w:w="4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1.1.1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1.1.2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Место жительства</w:t>
            </w:r>
          </w:p>
        </w:tc>
        <w:tc>
          <w:tcPr>
            <w:tcW w:w="4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1.1.3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4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1.2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Сведения о юридическом лице,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1.2.1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Наименование</w:t>
            </w:r>
          </w:p>
        </w:tc>
        <w:tc>
          <w:tcPr>
            <w:tcW w:w="4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1.2.2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Место нахождения</w:t>
            </w:r>
          </w:p>
        </w:tc>
        <w:tc>
          <w:tcPr>
            <w:tcW w:w="4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1.2.3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1.2.4</w:t>
            </w:r>
          </w:p>
        </w:tc>
        <w:tc>
          <w:tcPr>
            <w:tcW w:w="4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Идентификационный номер налогоплательщика,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</w:tbl>
    <w:p w:rsidR="002B3663" w:rsidRDefault="00F12A54">
      <w:pPr>
        <w:widowControl w:val="0"/>
        <w:spacing w:before="120" w:after="120" w:line="240" w:lineRule="auto"/>
        <w:jc w:val="center"/>
      </w:pPr>
      <w:r>
        <w:rPr>
          <w:rFonts w:ascii="Tinos" w:hAnsi="Tinos" w:cs="Tinos"/>
          <w:sz w:val="20"/>
          <w:szCs w:val="20"/>
        </w:rPr>
        <w:t>2. Сведения о земельном участке</w:t>
      </w:r>
    </w:p>
    <w:tbl>
      <w:tblPr>
        <w:tblW w:w="0" w:type="auto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052"/>
        <w:gridCol w:w="4879"/>
      </w:tblGrid>
      <w:tr w:rsidR="002B3663"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2.1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2.2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Адрес или описание местоположения земельного участка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2.3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Сведения о праве застройщика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на земельный участок (правоустанавливающие документы)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2.4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</w:tbl>
    <w:p w:rsidR="002B3663" w:rsidRDefault="00F12A54">
      <w:pPr>
        <w:widowControl w:val="0"/>
        <w:spacing w:before="120" w:after="120" w:line="240" w:lineRule="auto"/>
        <w:jc w:val="center"/>
      </w:pPr>
      <w:r>
        <w:rPr>
          <w:rFonts w:ascii="Tinos" w:hAnsi="Tinos" w:cs="Tinos"/>
          <w:sz w:val="20"/>
          <w:szCs w:val="20"/>
        </w:rPr>
        <w:t>3. Сведения об объекте капитального строительства, подлежащем сносу</w:t>
      </w:r>
    </w:p>
    <w:tbl>
      <w:tblPr>
        <w:tblW w:w="0" w:type="auto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052"/>
        <w:gridCol w:w="4879"/>
      </w:tblGrid>
      <w:tr w:rsidR="002B3663">
        <w:trPr>
          <w:trHeight w:val="911"/>
        </w:trPr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3.1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Сведения о праве застройщика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3.3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3.4</w:t>
            </w:r>
          </w:p>
        </w:tc>
        <w:tc>
          <w:tcPr>
            <w:tcW w:w="4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Сведения о решении суда или органа местного самоуправления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rPr>
                <w:rFonts w:ascii="Tinos" w:hAnsi="Tinos" w:cs="Tinos"/>
                <w:sz w:val="20"/>
                <w:szCs w:val="20"/>
              </w:rPr>
              <w:t>таких</w:t>
            </w:r>
            <w:proofErr w:type="gramEnd"/>
            <w:r>
              <w:rPr>
                <w:rFonts w:ascii="Tinos" w:hAnsi="Tinos" w:cs="Tinos"/>
                <w:sz w:val="20"/>
                <w:szCs w:val="20"/>
              </w:rPr>
              <w:t xml:space="preserve"> решения либо обязательства)</w:t>
            </w:r>
          </w:p>
        </w:tc>
        <w:tc>
          <w:tcPr>
            <w:tcW w:w="4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</w:tbl>
    <w:p w:rsidR="002B3663" w:rsidRDefault="00F12A54">
      <w:pPr>
        <w:widowControl w:val="0"/>
        <w:spacing w:before="120" w:after="0" w:line="240" w:lineRule="auto"/>
      </w:pPr>
      <w:r>
        <w:rPr>
          <w:rFonts w:ascii="Tinos" w:hAnsi="Tinos" w:cs="Tinos"/>
          <w:sz w:val="20"/>
          <w:szCs w:val="20"/>
        </w:rPr>
        <w:t xml:space="preserve">Почтовый адрес и (или) адрес электронной почты для связи: </w:t>
      </w:r>
    </w:p>
    <w:p w:rsidR="002B3663" w:rsidRDefault="002B3663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6339"/>
        <w:rPr>
          <w:rFonts w:ascii="Tinos" w:hAnsi="Tinos" w:cs="Tinos"/>
          <w:sz w:val="20"/>
          <w:szCs w:val="20"/>
        </w:rPr>
      </w:pPr>
    </w:p>
    <w:p w:rsidR="002B3663" w:rsidRDefault="002B3663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nos" w:hAnsi="Tinos" w:cs="Tinos"/>
          <w:sz w:val="20"/>
          <w:szCs w:val="20"/>
        </w:rPr>
      </w:pPr>
    </w:p>
    <w:p w:rsidR="002B3663" w:rsidRDefault="00F12A54">
      <w:pPr>
        <w:spacing w:after="0" w:line="240" w:lineRule="auto"/>
      </w:pPr>
      <w:r>
        <w:rPr>
          <w:rFonts w:ascii="Tinos" w:hAnsi="Tinos" w:cs="Tinos"/>
          <w:sz w:val="20"/>
          <w:szCs w:val="20"/>
        </w:rPr>
        <w:t xml:space="preserve">Настоящим уведомлением я  </w:t>
      </w:r>
    </w:p>
    <w:p w:rsidR="002B3663" w:rsidRDefault="002B3663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3011"/>
        <w:rPr>
          <w:rFonts w:ascii="Tinos" w:hAnsi="Tinos" w:cs="Tinos"/>
          <w:sz w:val="20"/>
          <w:szCs w:val="20"/>
        </w:rPr>
      </w:pPr>
    </w:p>
    <w:p w:rsidR="002B3663" w:rsidRDefault="002B3663">
      <w:pPr>
        <w:spacing w:after="0" w:line="240" w:lineRule="auto"/>
        <w:rPr>
          <w:rFonts w:ascii="Tinos" w:hAnsi="Tinos" w:cs="Tinos"/>
          <w:sz w:val="20"/>
          <w:szCs w:val="20"/>
        </w:rPr>
      </w:pPr>
    </w:p>
    <w:p w:rsidR="002B3663" w:rsidRDefault="00F12A54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120" w:line="240" w:lineRule="auto"/>
        <w:jc w:val="center"/>
      </w:pPr>
      <w:proofErr w:type="gramStart"/>
      <w:r>
        <w:rPr>
          <w:rFonts w:ascii="Tinos" w:hAnsi="Tinos" w:cs="Tinos"/>
          <w:sz w:val="20"/>
          <w:szCs w:val="20"/>
        </w:rPr>
        <w:t>(фамилия, имя, отчество (при наличии)</w:t>
      </w:r>
      <w:proofErr w:type="gramEnd"/>
    </w:p>
    <w:p w:rsidR="002B3663" w:rsidRDefault="00F12A54">
      <w:pPr>
        <w:spacing w:after="240"/>
        <w:jc w:val="both"/>
      </w:pPr>
      <w:r>
        <w:rPr>
          <w:rFonts w:ascii="Tinos" w:hAnsi="Tinos" w:cs="Tinos"/>
          <w:sz w:val="20"/>
          <w:szCs w:val="20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9"/>
        <w:gridCol w:w="221"/>
        <w:gridCol w:w="1767"/>
        <w:gridCol w:w="223"/>
        <w:gridCol w:w="3236"/>
      </w:tblGrid>
      <w:tr w:rsidR="002B3663">
        <w:tc>
          <w:tcPr>
            <w:tcW w:w="407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32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4079" w:type="dxa"/>
            <w:tcBorders>
              <w:top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 xml:space="preserve">(должность, в случае, если застройщиком 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1" w:type="dxa"/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(подпись)</w:t>
            </w:r>
          </w:p>
        </w:tc>
        <w:tc>
          <w:tcPr>
            <w:tcW w:w="223" w:type="dxa"/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(расшифровка подписи)</w:t>
            </w:r>
          </w:p>
        </w:tc>
      </w:tr>
    </w:tbl>
    <w:p w:rsidR="002B3663" w:rsidRDefault="00F12A54">
      <w:pPr>
        <w:widowControl w:val="0"/>
        <w:spacing w:before="240" w:after="240"/>
        <w:ind w:right="7505"/>
        <w:jc w:val="center"/>
      </w:pPr>
      <w:r>
        <w:rPr>
          <w:rFonts w:ascii="Tinos" w:hAnsi="Tinos" w:cs="Tinos"/>
          <w:sz w:val="20"/>
          <w:szCs w:val="20"/>
        </w:rPr>
        <w:t>М.П.</w:t>
      </w:r>
      <w:r>
        <w:br/>
      </w:r>
      <w:r>
        <w:rPr>
          <w:rFonts w:ascii="Tinos" w:hAnsi="Tinos" w:cs="Tinos"/>
          <w:sz w:val="20"/>
          <w:szCs w:val="20"/>
        </w:rPr>
        <w:t>(при наличии)</w:t>
      </w:r>
    </w:p>
    <w:p w:rsidR="002B3663" w:rsidRDefault="00F12A54">
      <w:pPr>
        <w:spacing w:after="0" w:line="240" w:lineRule="auto"/>
      </w:pPr>
      <w:r>
        <w:rPr>
          <w:rFonts w:ascii="Tinos" w:hAnsi="Tinos" w:cs="Tinos"/>
          <w:sz w:val="20"/>
          <w:szCs w:val="20"/>
        </w:rPr>
        <w:t xml:space="preserve">К настоящему уведомлению прилагаются:  </w:t>
      </w:r>
    </w:p>
    <w:p w:rsidR="002B3663" w:rsidRDefault="002B3663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468"/>
        <w:rPr>
          <w:rFonts w:ascii="Tinos" w:hAnsi="Tinos" w:cs="Tinos"/>
          <w:sz w:val="20"/>
          <w:szCs w:val="20"/>
        </w:rPr>
      </w:pPr>
    </w:p>
    <w:p w:rsidR="002B3663" w:rsidRDefault="002B3663">
      <w:pPr>
        <w:spacing w:after="0" w:line="240" w:lineRule="auto"/>
        <w:rPr>
          <w:rFonts w:ascii="Tinos" w:hAnsi="Tinos" w:cs="Tinos"/>
          <w:sz w:val="20"/>
          <w:szCs w:val="20"/>
        </w:rPr>
      </w:pPr>
    </w:p>
    <w:p w:rsidR="002B3663" w:rsidRDefault="002B3663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nos" w:hAnsi="Tinos" w:cs="Tinos"/>
          <w:sz w:val="20"/>
          <w:szCs w:val="20"/>
        </w:rPr>
      </w:pPr>
    </w:p>
    <w:p w:rsidR="002B3663" w:rsidRDefault="002B3663">
      <w:pPr>
        <w:spacing w:after="0" w:line="240" w:lineRule="auto"/>
        <w:rPr>
          <w:rFonts w:ascii="Tinos" w:hAnsi="Tinos" w:cs="Tinos"/>
          <w:sz w:val="20"/>
          <w:szCs w:val="20"/>
        </w:rPr>
      </w:pPr>
    </w:p>
    <w:p w:rsidR="002B3663" w:rsidRDefault="00F12A54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jc w:val="both"/>
      </w:pPr>
      <w:proofErr w:type="gramStart"/>
      <w:r>
        <w:rPr>
          <w:rFonts w:ascii="Tinos" w:hAnsi="Tinos" w:cs="Tinos"/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br/>
      </w:r>
      <w:r>
        <w:rPr>
          <w:rFonts w:ascii="Tinos" w:hAnsi="Tinos" w:cs="Tinos"/>
          <w:sz w:val="20"/>
          <w:szCs w:val="20"/>
        </w:rPr>
        <w:t>(Собрание законодательства Российской Федерации, 2005, № 1, ст. 16; 2018, № 32, ст. 5133, 5135)</w:t>
      </w:r>
      <w:proofErr w:type="gramEnd"/>
    </w:p>
    <w:p w:rsidR="002B3663" w:rsidRDefault="002B3663">
      <w:pPr>
        <w:rPr>
          <w:rFonts w:ascii="Tinos" w:hAnsi="Tinos" w:cs="Tinos"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F12A54" w:rsidRPr="00160ABA" w:rsidRDefault="00F12A54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A54" w:rsidRDefault="00F12A54" w:rsidP="00CE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60ABA" w:rsidRDefault="009E7BE5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F12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proofErr w:type="gramStart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12A54" w:rsidRDefault="009E7BE5" w:rsidP="00CE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административному регламенту</w:t>
      </w:r>
    </w:p>
    <w:p w:rsidR="00F12A54" w:rsidRDefault="00F12A54" w:rsidP="00CE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663" w:rsidRDefault="00F12A54">
      <w:pPr>
        <w:spacing w:after="0" w:line="240" w:lineRule="auto"/>
        <w:jc w:val="center"/>
      </w:pPr>
      <w:r>
        <w:rPr>
          <w:rFonts w:ascii="Tinos" w:hAnsi="Tinos" w:cs="Tinos"/>
          <w:sz w:val="20"/>
          <w:szCs w:val="20"/>
        </w:rPr>
        <w:t>Уведомление о завершении сноса объекта капитального строительства</w:t>
      </w:r>
    </w:p>
    <w:p w:rsidR="002B3663" w:rsidRDefault="002B3663">
      <w:pPr>
        <w:spacing w:after="0" w:line="240" w:lineRule="auto"/>
        <w:jc w:val="center"/>
        <w:rPr>
          <w:rFonts w:ascii="Tinos" w:hAnsi="Tinos" w:cs="Tinos"/>
          <w:b/>
          <w:b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"/>
        <w:gridCol w:w="395"/>
        <w:gridCol w:w="257"/>
        <w:gridCol w:w="1361"/>
        <w:gridCol w:w="368"/>
        <w:gridCol w:w="401"/>
        <w:gridCol w:w="335"/>
      </w:tblGrid>
      <w:tr w:rsidR="002B3663">
        <w:trPr>
          <w:jc w:val="right"/>
        </w:trPr>
        <w:tc>
          <w:tcPr>
            <w:tcW w:w="226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  <w:jc w:val="right"/>
            </w:pPr>
            <w:r>
              <w:rPr>
                <w:rFonts w:ascii="Tinos" w:hAnsi="Tinos" w:cs="Tinos"/>
                <w:sz w:val="20"/>
                <w:szCs w:val="20"/>
              </w:rPr>
              <w:t>«</w:t>
            </w:r>
          </w:p>
        </w:tc>
        <w:tc>
          <w:tcPr>
            <w:tcW w:w="39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</w:pPr>
            <w:r>
              <w:rPr>
                <w:rFonts w:ascii="Tinos" w:hAnsi="Tinos" w:cs="Tinos"/>
                <w:sz w:val="20"/>
                <w:szCs w:val="20"/>
              </w:rPr>
              <w:t>»</w:t>
            </w:r>
          </w:p>
        </w:tc>
        <w:tc>
          <w:tcPr>
            <w:tcW w:w="136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368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  <w:jc w:val="right"/>
            </w:pPr>
            <w:r>
              <w:rPr>
                <w:rFonts w:ascii="Tinos" w:hAnsi="Tinos" w:cs="Tinos"/>
                <w:sz w:val="20"/>
                <w:szCs w:val="20"/>
              </w:rPr>
              <w:t>20</w:t>
            </w:r>
          </w:p>
        </w:tc>
        <w:tc>
          <w:tcPr>
            <w:tcW w:w="40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proofErr w:type="gramStart"/>
            <w:r>
              <w:rPr>
                <w:rFonts w:ascii="Tinos" w:hAnsi="Tinos" w:cs="Tinos"/>
                <w:sz w:val="20"/>
                <w:szCs w:val="20"/>
              </w:rPr>
              <w:t>г</w:t>
            </w:r>
            <w:proofErr w:type="gramEnd"/>
            <w:r>
              <w:rPr>
                <w:rFonts w:ascii="Tinos" w:hAnsi="Tinos" w:cs="Tinos"/>
                <w:sz w:val="20"/>
                <w:szCs w:val="20"/>
              </w:rPr>
              <w:t>.</w:t>
            </w:r>
          </w:p>
        </w:tc>
      </w:tr>
    </w:tbl>
    <w:p w:rsidR="002B3663" w:rsidRDefault="002B3663">
      <w:pPr>
        <w:widowControl w:val="0"/>
        <w:spacing w:after="0" w:line="240" w:lineRule="auto"/>
        <w:jc w:val="center"/>
        <w:rPr>
          <w:rFonts w:ascii="Tinos" w:hAnsi="Tinos" w:cs="Tinos"/>
          <w:sz w:val="20"/>
          <w:szCs w:val="20"/>
        </w:rPr>
      </w:pPr>
    </w:p>
    <w:p w:rsidR="002B3663" w:rsidRDefault="002B3663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nos" w:hAnsi="Tinos" w:cs="Tinos"/>
          <w:sz w:val="20"/>
          <w:szCs w:val="20"/>
        </w:rPr>
      </w:pPr>
    </w:p>
    <w:p w:rsidR="002B3663" w:rsidRDefault="002B3663">
      <w:pPr>
        <w:spacing w:after="0" w:line="240" w:lineRule="auto"/>
        <w:jc w:val="center"/>
        <w:rPr>
          <w:rFonts w:ascii="Tinos" w:hAnsi="Tinos" w:cs="Tinos"/>
          <w:sz w:val="20"/>
          <w:szCs w:val="20"/>
        </w:rPr>
      </w:pPr>
    </w:p>
    <w:p w:rsidR="002B3663" w:rsidRDefault="00F12A54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</w:pPr>
      <w:r>
        <w:rPr>
          <w:rFonts w:ascii="Tinos" w:hAnsi="Tinos" w:cs="Tinos"/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br/>
      </w:r>
      <w:r>
        <w:rPr>
          <w:rFonts w:ascii="Tinos" w:hAnsi="Tinos" w:cs="Tinos"/>
          <w:sz w:val="20"/>
          <w:szCs w:val="20"/>
        </w:rPr>
        <w:t>земельного участка, на котором располагался снесенный объект капитального строительства, или</w:t>
      </w:r>
      <w:r>
        <w:br/>
      </w:r>
      <w:r>
        <w:rPr>
          <w:rFonts w:ascii="Tinos" w:hAnsi="Tinos" w:cs="Tinos"/>
          <w:sz w:val="20"/>
          <w:szCs w:val="20"/>
        </w:rPr>
        <w:t xml:space="preserve">в случае, если такой земельный участок находится на межселенной территории, – наименование органа </w:t>
      </w:r>
      <w:r>
        <w:br/>
      </w:r>
      <w:r>
        <w:rPr>
          <w:rFonts w:ascii="Tinos" w:hAnsi="Tinos" w:cs="Tinos"/>
          <w:sz w:val="20"/>
          <w:szCs w:val="20"/>
        </w:rPr>
        <w:t>местного самоуправления муниципального района)</w:t>
      </w:r>
    </w:p>
    <w:p w:rsidR="002B3663" w:rsidRDefault="002B3663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nos" w:hAnsi="Tinos" w:cs="Tinos"/>
          <w:sz w:val="20"/>
          <w:szCs w:val="20"/>
        </w:rPr>
      </w:pPr>
    </w:p>
    <w:p w:rsidR="002B3663" w:rsidRDefault="00F12A54">
      <w:pPr>
        <w:spacing w:after="0" w:line="240" w:lineRule="auto"/>
        <w:jc w:val="center"/>
      </w:pPr>
      <w:r>
        <w:rPr>
          <w:rFonts w:ascii="Tinos" w:hAnsi="Tinos" w:cs="Tinos"/>
          <w:sz w:val="20"/>
          <w:szCs w:val="20"/>
        </w:rPr>
        <w:t>1. Сведения о застройщике, техническом заказчике</w:t>
      </w:r>
    </w:p>
    <w:tbl>
      <w:tblPr>
        <w:tblW w:w="0" w:type="auto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2"/>
        <w:gridCol w:w="4997"/>
      </w:tblGrid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1.1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Сведения о физическом лице,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в случае если застройщиком является физическое лицо: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1.1.1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1.1.2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Место жительства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1.1.3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1.2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Сведения о юридическом лице,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1.2.1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Наименование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1.2.2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Место нахождения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1.2.3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Государственный регистрационный номер записи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1.2.4</w:t>
            </w:r>
          </w:p>
        </w:tc>
        <w:tc>
          <w:tcPr>
            <w:tcW w:w="3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Идентификационный номер налогоплательщика,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</w:tbl>
    <w:p w:rsidR="002B3663" w:rsidRDefault="00F12A54">
      <w:pPr>
        <w:widowControl w:val="0"/>
        <w:spacing w:after="0" w:line="240" w:lineRule="auto"/>
        <w:jc w:val="center"/>
      </w:pPr>
      <w:r>
        <w:rPr>
          <w:rFonts w:ascii="Tinos" w:hAnsi="Tinos" w:cs="Tinos"/>
          <w:sz w:val="20"/>
          <w:szCs w:val="20"/>
        </w:rPr>
        <w:t>2. Сведения о земельном участке</w:t>
      </w:r>
    </w:p>
    <w:tbl>
      <w:tblPr>
        <w:tblW w:w="0" w:type="auto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4"/>
        <w:gridCol w:w="4597"/>
      </w:tblGrid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2.1</w:t>
            </w:r>
          </w:p>
        </w:tc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4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2.2</w:t>
            </w:r>
          </w:p>
        </w:tc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Адрес или описание местоположения земельного участка</w:t>
            </w:r>
          </w:p>
        </w:tc>
        <w:tc>
          <w:tcPr>
            <w:tcW w:w="4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2.3</w:t>
            </w:r>
          </w:p>
        </w:tc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Сведения о праве застройщика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на земельный участок (правоустанавливающие документы)</w:t>
            </w:r>
          </w:p>
        </w:tc>
        <w:tc>
          <w:tcPr>
            <w:tcW w:w="4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r>
              <w:rPr>
                <w:rFonts w:ascii="Tinos" w:hAnsi="Tinos" w:cs="Tinos"/>
                <w:sz w:val="20"/>
                <w:szCs w:val="20"/>
              </w:rPr>
              <w:t>2.4</w:t>
            </w:r>
          </w:p>
        </w:tc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ind w:left="57" w:right="57"/>
              <w:jc w:val="both"/>
            </w:pPr>
            <w:r>
              <w:rPr>
                <w:rFonts w:ascii="Tinos" w:hAnsi="Tinos" w:cs="Tinos"/>
                <w:sz w:val="20"/>
                <w:szCs w:val="20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ind w:left="57" w:right="57"/>
              <w:rPr>
                <w:rFonts w:ascii="Tinos" w:hAnsi="Tinos" w:cs="Tinos"/>
                <w:sz w:val="20"/>
                <w:szCs w:val="20"/>
              </w:rPr>
            </w:pPr>
          </w:p>
        </w:tc>
      </w:tr>
    </w:tbl>
    <w:p w:rsidR="002B3663" w:rsidRDefault="00F12A54">
      <w:pPr>
        <w:widowControl w:val="0"/>
        <w:spacing w:after="0" w:line="240" w:lineRule="auto"/>
        <w:ind w:firstLine="567"/>
        <w:jc w:val="both"/>
      </w:pPr>
      <w:r>
        <w:rPr>
          <w:rFonts w:ascii="Tinos" w:hAnsi="Tinos" w:cs="Tinos"/>
          <w:bCs/>
          <w:sz w:val="20"/>
          <w:szCs w:val="20"/>
        </w:rPr>
        <w:t>Настоящим уведомляю о сносе объекта капитального строительства</w:t>
      </w:r>
      <w: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0"/>
        <w:gridCol w:w="2865"/>
      </w:tblGrid>
      <w:tr w:rsidR="002B3663">
        <w:trPr>
          <w:trHeight w:val="506"/>
        </w:trPr>
        <w:tc>
          <w:tcPr>
            <w:tcW w:w="6680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</w:pPr>
            <w:r>
              <w:rPr>
                <w:rFonts w:ascii="Tinos" w:hAnsi="Tinos" w:cs="Tinos"/>
                <w:bCs/>
                <w:sz w:val="20"/>
                <w:szCs w:val="20"/>
              </w:rPr>
              <w:t>,</w:t>
            </w:r>
            <w:proofErr w:type="gramStart"/>
            <w:r>
              <w:rPr>
                <w:rFonts w:ascii="Tinos" w:hAnsi="Tinos" w:cs="Tinos"/>
                <w:bCs/>
                <w:sz w:val="20"/>
                <w:szCs w:val="20"/>
              </w:rPr>
              <w:t>указанного</w:t>
            </w:r>
            <w:proofErr w:type="gramEnd"/>
            <w:r>
              <w:rPr>
                <w:rFonts w:ascii="Tinos" w:hAnsi="Tinos" w:cs="Tinos"/>
                <w:bCs/>
                <w:sz w:val="20"/>
                <w:szCs w:val="20"/>
              </w:rPr>
              <w:t xml:space="preserve"> в уведомлении</w:t>
            </w:r>
          </w:p>
        </w:tc>
      </w:tr>
    </w:tbl>
    <w:p w:rsidR="002B3663" w:rsidRDefault="00F12A54">
      <w:pPr>
        <w:widowControl w:val="0"/>
        <w:spacing w:after="0" w:line="240" w:lineRule="auto"/>
        <w:ind w:right="2996"/>
        <w:jc w:val="center"/>
      </w:pPr>
      <w:proofErr w:type="gramStart"/>
      <w:r>
        <w:rPr>
          <w:rFonts w:ascii="Tinos" w:hAnsi="Tinos" w:cs="Tinos"/>
          <w:sz w:val="20"/>
          <w:szCs w:val="20"/>
        </w:rPr>
        <w:lastRenderedPageBreak/>
        <w:t>(кадастровый номер объекта капитального строительства (при наличии)</w:t>
      </w:r>
      <w:proofErr w:type="gramEnd"/>
    </w:p>
    <w:p w:rsidR="002B3663" w:rsidRDefault="00F12A54">
      <w:pPr>
        <w:spacing w:after="0" w:line="240" w:lineRule="auto"/>
        <w:jc w:val="both"/>
      </w:pPr>
      <w:r>
        <w:rPr>
          <w:rFonts w:ascii="Tinos" w:hAnsi="Tinos" w:cs="Tinos"/>
          <w:bCs/>
          <w:sz w:val="20"/>
          <w:szCs w:val="20"/>
        </w:rPr>
        <w:t>о планируемом сносе объекта капитального строительства</w:t>
      </w:r>
      <w: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200"/>
        <w:gridCol w:w="485"/>
        <w:gridCol w:w="273"/>
        <w:gridCol w:w="1455"/>
        <w:gridCol w:w="394"/>
        <w:gridCol w:w="422"/>
        <w:gridCol w:w="424"/>
      </w:tblGrid>
      <w:tr w:rsidR="002B3663">
        <w:trPr>
          <w:trHeight w:val="473"/>
        </w:trPr>
        <w:tc>
          <w:tcPr>
            <w:tcW w:w="331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</w:pPr>
            <w:r>
              <w:rPr>
                <w:rFonts w:ascii="Tinos" w:hAnsi="Tinos" w:cs="Tinos"/>
                <w:sz w:val="20"/>
                <w:szCs w:val="20"/>
              </w:rPr>
              <w:t>от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  <w:jc w:val="right"/>
            </w:pPr>
            <w:r>
              <w:rPr>
                <w:rFonts w:ascii="Tinos" w:hAnsi="Tinos" w:cs="Tinos"/>
                <w:sz w:val="20"/>
                <w:szCs w:val="20"/>
              </w:rPr>
              <w:t>«</w:t>
            </w:r>
          </w:p>
        </w:tc>
        <w:tc>
          <w:tcPr>
            <w:tcW w:w="48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</w:pPr>
            <w:r>
              <w:rPr>
                <w:rFonts w:ascii="Tinos" w:hAnsi="Tinos" w:cs="Tinos"/>
                <w:sz w:val="20"/>
                <w:szCs w:val="20"/>
              </w:rPr>
              <w:t>»</w:t>
            </w:r>
          </w:p>
        </w:tc>
        <w:tc>
          <w:tcPr>
            <w:tcW w:w="145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  <w:jc w:val="right"/>
            </w:pPr>
            <w:r>
              <w:rPr>
                <w:rFonts w:ascii="Tinos" w:hAnsi="Tinos" w:cs="Tinos"/>
                <w:sz w:val="20"/>
                <w:szCs w:val="20"/>
              </w:rPr>
              <w:t>20</w:t>
            </w:r>
          </w:p>
        </w:tc>
        <w:tc>
          <w:tcPr>
            <w:tcW w:w="422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:rsidR="002B3663" w:rsidRDefault="00F12A54">
            <w:pPr>
              <w:widowControl w:val="0"/>
              <w:spacing w:after="0" w:line="240" w:lineRule="auto"/>
              <w:ind w:left="57"/>
            </w:pPr>
            <w:proofErr w:type="gramStart"/>
            <w:r>
              <w:rPr>
                <w:rFonts w:ascii="Tinos" w:hAnsi="Tinos" w:cs="Tinos"/>
                <w:sz w:val="20"/>
                <w:szCs w:val="20"/>
              </w:rPr>
              <w:t>г</w:t>
            </w:r>
            <w:proofErr w:type="gramEnd"/>
            <w:r>
              <w:rPr>
                <w:rFonts w:ascii="Tinos" w:hAnsi="Tinos" w:cs="Tinos"/>
                <w:sz w:val="20"/>
                <w:szCs w:val="20"/>
              </w:rPr>
              <w:t>.</w:t>
            </w:r>
          </w:p>
        </w:tc>
      </w:tr>
    </w:tbl>
    <w:p w:rsidR="002B3663" w:rsidRDefault="00F12A54">
      <w:pPr>
        <w:widowControl w:val="0"/>
        <w:spacing w:after="0" w:line="240" w:lineRule="auto"/>
        <w:ind w:left="323" w:right="6691"/>
        <w:jc w:val="center"/>
      </w:pPr>
      <w:r>
        <w:rPr>
          <w:rFonts w:ascii="Tinos" w:hAnsi="Tinos" w:cs="Tinos"/>
          <w:sz w:val="20"/>
          <w:szCs w:val="20"/>
        </w:rPr>
        <w:t>(дата направления)</w:t>
      </w:r>
    </w:p>
    <w:p w:rsidR="002B3663" w:rsidRDefault="002B3663">
      <w:pPr>
        <w:spacing w:after="0" w:line="240" w:lineRule="auto"/>
        <w:ind w:left="323" w:right="6691"/>
        <w:jc w:val="center"/>
        <w:rPr>
          <w:rFonts w:ascii="Tinos" w:hAnsi="Tinos" w:cs="Tinos"/>
          <w:sz w:val="20"/>
          <w:szCs w:val="20"/>
        </w:rPr>
      </w:pPr>
    </w:p>
    <w:p w:rsidR="002B3663" w:rsidRDefault="00F12A54">
      <w:pPr>
        <w:spacing w:after="0" w:line="240" w:lineRule="auto"/>
      </w:pPr>
      <w:r>
        <w:rPr>
          <w:rFonts w:ascii="Tinos" w:hAnsi="Tinos" w:cs="Tinos"/>
          <w:sz w:val="20"/>
          <w:szCs w:val="20"/>
        </w:rPr>
        <w:t xml:space="preserve">Почтовый адрес и (или) адрес электронной почты для связи:  </w:t>
      </w:r>
    </w:p>
    <w:p w:rsidR="002B3663" w:rsidRDefault="002B3663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6341"/>
        <w:rPr>
          <w:rFonts w:ascii="Tinos" w:hAnsi="Tinos" w:cs="Tinos"/>
          <w:sz w:val="20"/>
          <w:szCs w:val="20"/>
        </w:rPr>
      </w:pPr>
    </w:p>
    <w:p w:rsidR="002B3663" w:rsidRDefault="002B3663">
      <w:pPr>
        <w:spacing w:after="0" w:line="240" w:lineRule="auto"/>
        <w:rPr>
          <w:rFonts w:ascii="Tinos" w:hAnsi="Tinos" w:cs="Tinos"/>
          <w:sz w:val="20"/>
          <w:szCs w:val="20"/>
        </w:rPr>
      </w:pPr>
    </w:p>
    <w:p w:rsidR="002B3663" w:rsidRDefault="002B3663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nos" w:hAnsi="Tinos" w:cs="Tinos"/>
          <w:sz w:val="20"/>
          <w:szCs w:val="20"/>
        </w:rPr>
      </w:pPr>
    </w:p>
    <w:p w:rsidR="002B3663" w:rsidRDefault="00F12A54">
      <w:pPr>
        <w:spacing w:after="0" w:line="240" w:lineRule="auto"/>
      </w:pPr>
      <w:r>
        <w:rPr>
          <w:rFonts w:ascii="Tinos" w:hAnsi="Tinos" w:cs="Tinos"/>
          <w:sz w:val="20"/>
          <w:szCs w:val="20"/>
        </w:rPr>
        <w:t xml:space="preserve">Настоящим уведомлением я  </w:t>
      </w:r>
    </w:p>
    <w:p w:rsidR="002B3663" w:rsidRDefault="002B3663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3011"/>
        <w:rPr>
          <w:rFonts w:ascii="Tinos" w:hAnsi="Tinos" w:cs="Tinos"/>
          <w:sz w:val="20"/>
          <w:szCs w:val="20"/>
        </w:rPr>
      </w:pPr>
    </w:p>
    <w:p w:rsidR="002B3663" w:rsidRDefault="002B3663">
      <w:pPr>
        <w:spacing w:after="0" w:line="240" w:lineRule="auto"/>
        <w:rPr>
          <w:rFonts w:ascii="Tinos" w:hAnsi="Tinos" w:cs="Tinos"/>
          <w:sz w:val="20"/>
          <w:szCs w:val="20"/>
        </w:rPr>
      </w:pPr>
    </w:p>
    <w:p w:rsidR="002B3663" w:rsidRDefault="00F12A54">
      <w:pPr>
        <w:pBdr>
          <w:top w:val="single" w:sz="4" w:space="1" w:color="000001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</w:pPr>
      <w:proofErr w:type="gramStart"/>
      <w:r>
        <w:rPr>
          <w:rFonts w:ascii="Tinos" w:hAnsi="Tinos" w:cs="Tinos"/>
          <w:sz w:val="20"/>
          <w:szCs w:val="20"/>
        </w:rPr>
        <w:t>(фамилия, имя, отчество (при наличии)</w:t>
      </w:r>
      <w:proofErr w:type="gramEnd"/>
    </w:p>
    <w:p w:rsidR="002B3663" w:rsidRDefault="00F12A54">
      <w:pPr>
        <w:spacing w:after="0" w:line="240" w:lineRule="auto"/>
        <w:jc w:val="both"/>
      </w:pPr>
      <w:r>
        <w:rPr>
          <w:rFonts w:ascii="Tinos" w:hAnsi="Tinos" w:cs="Tinos"/>
          <w:sz w:val="20"/>
          <w:szCs w:val="20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9"/>
        <w:gridCol w:w="221"/>
        <w:gridCol w:w="1767"/>
        <w:gridCol w:w="223"/>
        <w:gridCol w:w="3236"/>
      </w:tblGrid>
      <w:tr w:rsidR="002B3663">
        <w:tc>
          <w:tcPr>
            <w:tcW w:w="4079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221" w:type="dxa"/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323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</w:tr>
      <w:tr w:rsidR="002B3663">
        <w:tc>
          <w:tcPr>
            <w:tcW w:w="4079" w:type="dxa"/>
            <w:tcBorders>
              <w:top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 xml:space="preserve">(должность, в случае, если застройщиком </w:t>
            </w:r>
            <w:r>
              <w:br/>
            </w:r>
            <w:r>
              <w:rPr>
                <w:rFonts w:ascii="Tinos" w:hAnsi="Tinos" w:cs="Tinos"/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1" w:type="dxa"/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(подпись)</w:t>
            </w:r>
          </w:p>
        </w:tc>
        <w:tc>
          <w:tcPr>
            <w:tcW w:w="223" w:type="dxa"/>
            <w:shd w:val="clear" w:color="auto" w:fill="auto"/>
          </w:tcPr>
          <w:p w:rsidR="002B3663" w:rsidRDefault="002B3663">
            <w:pPr>
              <w:widowControl w:val="0"/>
              <w:spacing w:after="0" w:line="240" w:lineRule="auto"/>
              <w:jc w:val="center"/>
              <w:rPr>
                <w:rFonts w:ascii="Tinos" w:hAnsi="Tinos" w:cs="Tinos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1"/>
            </w:tcBorders>
            <w:shd w:val="clear" w:color="auto" w:fill="auto"/>
          </w:tcPr>
          <w:p w:rsidR="002B3663" w:rsidRDefault="00F12A54">
            <w:pPr>
              <w:widowControl w:val="0"/>
              <w:spacing w:after="0" w:line="240" w:lineRule="auto"/>
              <w:jc w:val="center"/>
            </w:pPr>
            <w:r>
              <w:rPr>
                <w:rFonts w:ascii="Tinos" w:hAnsi="Tinos" w:cs="Tinos"/>
                <w:sz w:val="20"/>
                <w:szCs w:val="20"/>
              </w:rPr>
              <w:t>(расшифровка подписи)</w:t>
            </w:r>
          </w:p>
        </w:tc>
      </w:tr>
    </w:tbl>
    <w:p w:rsidR="002B3663" w:rsidRDefault="00F12A54">
      <w:pPr>
        <w:widowControl w:val="0"/>
        <w:spacing w:after="0" w:line="240" w:lineRule="auto"/>
        <w:ind w:right="7505"/>
        <w:jc w:val="center"/>
      </w:pPr>
      <w:r>
        <w:rPr>
          <w:rFonts w:ascii="Tinos" w:hAnsi="Tinos" w:cs="Tinos"/>
          <w:sz w:val="20"/>
          <w:szCs w:val="20"/>
        </w:rPr>
        <w:t>М.П.</w:t>
      </w:r>
    </w:p>
    <w:p w:rsidR="002B3663" w:rsidRDefault="00F12A54">
      <w:pPr>
        <w:spacing w:after="0" w:line="240" w:lineRule="auto"/>
        <w:ind w:right="7505"/>
        <w:jc w:val="center"/>
      </w:pPr>
      <w:r>
        <w:rPr>
          <w:rFonts w:ascii="Tinos" w:hAnsi="Tinos" w:cs="Tinos"/>
          <w:sz w:val="20"/>
          <w:szCs w:val="20"/>
        </w:rPr>
        <w:t>(при наличии)</w:t>
      </w:r>
    </w:p>
    <w:p w:rsidR="002B3663" w:rsidRDefault="002B3663">
      <w:pPr>
        <w:shd w:val="clear" w:color="auto" w:fill="FFFFFF"/>
        <w:spacing w:after="0" w:line="240" w:lineRule="auto"/>
        <w:jc w:val="both"/>
        <w:rPr>
          <w:rFonts w:ascii="Tinos" w:hAnsi="Tinos" w:cs="Tinos"/>
          <w:color w:val="000000"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color w:val="000000"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color w:val="000000"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2B3663" w:rsidRDefault="002B3663">
      <w:pPr>
        <w:spacing w:after="0" w:line="240" w:lineRule="auto"/>
        <w:jc w:val="right"/>
        <w:rPr>
          <w:rFonts w:ascii="Tinos" w:hAnsi="Tinos" w:cs="Tinos"/>
          <w:bCs/>
          <w:sz w:val="20"/>
          <w:szCs w:val="20"/>
        </w:rPr>
      </w:pPr>
    </w:p>
    <w:p w:rsidR="00F12A54" w:rsidRPr="00CE30AF" w:rsidRDefault="00F12A54" w:rsidP="00CE3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12A54" w:rsidRPr="00CE30AF" w:rsidSect="006B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C3" w:rsidRDefault="008A79C3" w:rsidP="009E7BE5">
      <w:pPr>
        <w:spacing w:after="0" w:line="240" w:lineRule="auto"/>
      </w:pPr>
      <w:r>
        <w:separator/>
      </w:r>
    </w:p>
  </w:endnote>
  <w:endnote w:type="continuationSeparator" w:id="0">
    <w:p w:rsidR="008A79C3" w:rsidRDefault="008A79C3" w:rsidP="009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nos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C3" w:rsidRDefault="008A79C3" w:rsidP="009E7BE5">
      <w:pPr>
        <w:spacing w:after="0" w:line="240" w:lineRule="auto"/>
      </w:pPr>
      <w:r>
        <w:separator/>
      </w:r>
    </w:p>
  </w:footnote>
  <w:footnote w:type="continuationSeparator" w:id="0">
    <w:p w:rsidR="008A79C3" w:rsidRDefault="008A79C3" w:rsidP="009E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977E9"/>
    <w:multiLevelType w:val="multilevel"/>
    <w:tmpl w:val="F1B6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E5"/>
    <w:rsid w:val="000621AA"/>
    <w:rsid w:val="00065EF9"/>
    <w:rsid w:val="00071E1F"/>
    <w:rsid w:val="000902FA"/>
    <w:rsid w:val="000A5964"/>
    <w:rsid w:val="00131111"/>
    <w:rsid w:val="00150E36"/>
    <w:rsid w:val="00160ABA"/>
    <w:rsid w:val="00173CE5"/>
    <w:rsid w:val="001854D0"/>
    <w:rsid w:val="001925E6"/>
    <w:rsid w:val="001B05C1"/>
    <w:rsid w:val="001C7D84"/>
    <w:rsid w:val="0021117F"/>
    <w:rsid w:val="00220DDC"/>
    <w:rsid w:val="00233E30"/>
    <w:rsid w:val="00260C99"/>
    <w:rsid w:val="00267AC1"/>
    <w:rsid w:val="00293C22"/>
    <w:rsid w:val="002B3663"/>
    <w:rsid w:val="002C765C"/>
    <w:rsid w:val="002F1AE0"/>
    <w:rsid w:val="00355FB6"/>
    <w:rsid w:val="00366B96"/>
    <w:rsid w:val="00367F8E"/>
    <w:rsid w:val="00393F18"/>
    <w:rsid w:val="003B62FE"/>
    <w:rsid w:val="00401278"/>
    <w:rsid w:val="004303E8"/>
    <w:rsid w:val="00482A66"/>
    <w:rsid w:val="0048711A"/>
    <w:rsid w:val="004A265B"/>
    <w:rsid w:val="004D0E24"/>
    <w:rsid w:val="004E5F0D"/>
    <w:rsid w:val="005109A0"/>
    <w:rsid w:val="005A2BFF"/>
    <w:rsid w:val="005B2AAD"/>
    <w:rsid w:val="005D7832"/>
    <w:rsid w:val="00651D23"/>
    <w:rsid w:val="006B5591"/>
    <w:rsid w:val="006C5366"/>
    <w:rsid w:val="006D436F"/>
    <w:rsid w:val="00701378"/>
    <w:rsid w:val="00754BCA"/>
    <w:rsid w:val="00781B33"/>
    <w:rsid w:val="007C7A89"/>
    <w:rsid w:val="0080540C"/>
    <w:rsid w:val="00834B70"/>
    <w:rsid w:val="00841B45"/>
    <w:rsid w:val="008502DC"/>
    <w:rsid w:val="00854FAD"/>
    <w:rsid w:val="008A4DEC"/>
    <w:rsid w:val="008A603A"/>
    <w:rsid w:val="008A79C3"/>
    <w:rsid w:val="008B653A"/>
    <w:rsid w:val="008C5178"/>
    <w:rsid w:val="008D3DDA"/>
    <w:rsid w:val="00922A9E"/>
    <w:rsid w:val="009542A8"/>
    <w:rsid w:val="00967A34"/>
    <w:rsid w:val="00990F13"/>
    <w:rsid w:val="009E7BE5"/>
    <w:rsid w:val="00A07E32"/>
    <w:rsid w:val="00A1722D"/>
    <w:rsid w:val="00A24B33"/>
    <w:rsid w:val="00AD011F"/>
    <w:rsid w:val="00AD41F4"/>
    <w:rsid w:val="00AD7355"/>
    <w:rsid w:val="00B00234"/>
    <w:rsid w:val="00B14A0B"/>
    <w:rsid w:val="00B46CDC"/>
    <w:rsid w:val="00BB546F"/>
    <w:rsid w:val="00BB628C"/>
    <w:rsid w:val="00BD39BB"/>
    <w:rsid w:val="00BD66F9"/>
    <w:rsid w:val="00C229EB"/>
    <w:rsid w:val="00C97459"/>
    <w:rsid w:val="00CB0DCF"/>
    <w:rsid w:val="00CE30AF"/>
    <w:rsid w:val="00D42869"/>
    <w:rsid w:val="00DC357A"/>
    <w:rsid w:val="00DF06E3"/>
    <w:rsid w:val="00DF3B3C"/>
    <w:rsid w:val="00E42FE1"/>
    <w:rsid w:val="00E53614"/>
    <w:rsid w:val="00E725C7"/>
    <w:rsid w:val="00EB2EDB"/>
    <w:rsid w:val="00F12A54"/>
    <w:rsid w:val="00F36AB4"/>
    <w:rsid w:val="00F3710A"/>
    <w:rsid w:val="00F55FBC"/>
    <w:rsid w:val="00F91EB1"/>
    <w:rsid w:val="00FE340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uiPriority w:val="34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uiPriority w:val="99"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5A2BFF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e">
    <w:name w:val="Без интервала Знак"/>
    <w:link w:val="ad"/>
    <w:uiPriority w:val="1"/>
    <w:rsid w:val="005A2BFF"/>
    <w:rPr>
      <w:rFonts w:ascii="Calibri" w:eastAsia="Times New Roman" w:hAnsi="Calibri" w:cs="Times New Roman"/>
      <w:color w:val="000000"/>
      <w:szCs w:val="20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0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5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uiPriority w:val="34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uiPriority w:val="99"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No Spacing"/>
    <w:link w:val="ae"/>
    <w:uiPriority w:val="1"/>
    <w:qFormat/>
    <w:rsid w:val="005A2BFF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e">
    <w:name w:val="Без интервала Знак"/>
    <w:link w:val="ad"/>
    <w:uiPriority w:val="1"/>
    <w:rsid w:val="005A2BFF"/>
    <w:rPr>
      <w:rFonts w:ascii="Calibri" w:eastAsia="Times New Roman" w:hAnsi="Calibri" w:cs="Times New Roman"/>
      <w:color w:val="000000"/>
      <w:szCs w:val="20"/>
    </w:rPr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80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5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69DE4F2F5DD86E76CB3823DEFF388FDBEFCD5C3608EE52056923DF502sCA7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0336DA60F86D63DCDFA8D98ED087F9A&amp;req=doc&amp;base=LAW&amp;n=183496&amp;date=27.03.2019" TargetMode="External"/><Relationship Id="rId10" Type="http://schemas.openxmlformats.org/officeDocument/2006/relationships/hyperlink" Target="https://gosuslugi35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4AA5F-08C4-48CA-AE3C-E3351D71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31</Pages>
  <Words>9721</Words>
  <Characters>55413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6</cp:revision>
  <cp:lastPrinted>2023-06-27T12:52:00Z</cp:lastPrinted>
  <dcterms:created xsi:type="dcterms:W3CDTF">2022-02-03T10:28:00Z</dcterms:created>
  <dcterms:modified xsi:type="dcterms:W3CDTF">2023-06-27T13:03:00Z</dcterms:modified>
</cp:coreProperties>
</file>