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C" w:rsidRDefault="0037155C" w:rsidP="004D112F">
      <w:pPr>
        <w:spacing w:line="360" w:lineRule="auto"/>
        <w:jc w:val="center"/>
        <w:rPr>
          <w:rFonts w:ascii="Times New Roman" w:hAnsi="Times New Roman"/>
        </w:rPr>
      </w:pPr>
    </w:p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37155C">
        <w:rPr>
          <w:rFonts w:ascii="Times New Roman" w:hAnsi="Times New Roman"/>
          <w:sz w:val="28"/>
          <w:szCs w:val="28"/>
        </w:rPr>
        <w:t>4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713AF2">
        <w:rPr>
          <w:rFonts w:ascii="Times New Roman" w:hAnsi="Times New Roman"/>
          <w:sz w:val="28"/>
          <w:szCs w:val="28"/>
        </w:rPr>
        <w:t>9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713AF2" w:rsidRPr="00713AF2" w:rsidRDefault="00713AF2" w:rsidP="00713AF2">
      <w:pPr>
        <w:spacing w:line="276" w:lineRule="auto"/>
        <w:ind w:right="538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3AF2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Нюксенского муниципального округа от 14.08.2024 № 279 «О контрактной службе  администрации Нюксенского муниципального округа»</w:t>
      </w:r>
    </w:p>
    <w:p w:rsidR="00713AF2" w:rsidRPr="00713AF2" w:rsidRDefault="00713AF2" w:rsidP="00713AF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 </w:t>
      </w:r>
    </w:p>
    <w:p w:rsidR="00713AF2" w:rsidRPr="00713AF2" w:rsidRDefault="00713AF2" w:rsidP="00713AF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F2">
        <w:rPr>
          <w:rFonts w:ascii="Times New Roman" w:hAnsi="Times New Roman"/>
          <w:bCs/>
          <w:sz w:val="28"/>
          <w:szCs w:val="28"/>
        </w:rPr>
        <w:t>В связи с изменениями персонального состава,</w:t>
      </w:r>
      <w:r w:rsidRPr="00713AF2">
        <w:rPr>
          <w:rFonts w:ascii="Times New Roman" w:hAnsi="Times New Roman"/>
          <w:sz w:val="28"/>
          <w:szCs w:val="28"/>
        </w:rPr>
        <w:t xml:space="preserve"> руководствуясь статьями 36,  38 Устава Нюксенского муниципального округа,</w:t>
      </w:r>
    </w:p>
    <w:p w:rsidR="00713AF2" w:rsidRPr="00713AF2" w:rsidRDefault="00713AF2" w:rsidP="00713AF2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3AF2">
        <w:rPr>
          <w:rFonts w:ascii="Times New Roman" w:hAnsi="Times New Roman"/>
          <w:bCs/>
          <w:sz w:val="28"/>
          <w:szCs w:val="28"/>
        </w:rPr>
        <w:t>ПОСТАНОВЛЯЮ:</w:t>
      </w:r>
    </w:p>
    <w:p w:rsidR="00713AF2" w:rsidRPr="00713AF2" w:rsidRDefault="00713AF2" w:rsidP="00713AF2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3AF2">
        <w:rPr>
          <w:rFonts w:ascii="Times New Roman" w:hAnsi="Times New Roman"/>
          <w:bCs/>
          <w:sz w:val="28"/>
          <w:szCs w:val="28"/>
        </w:rPr>
        <w:t>1. Внести в постановление администрации Нюксенского муниципального округа от 14.08.2024 № 279 «О контрактной службе  администрации Нюксенского муниципального округа» изменения, изложив приложение № 2 в новой прилагаемой редакции.</w:t>
      </w:r>
    </w:p>
    <w:p w:rsidR="00713AF2" w:rsidRPr="00713AF2" w:rsidRDefault="00713AF2" w:rsidP="00713AF2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3AF2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713AF2" w:rsidRPr="00713AF2" w:rsidRDefault="00713AF2" w:rsidP="00713AF2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3AF2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713AF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713AF2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7155C" w:rsidRDefault="0037155C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BE6052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47" w:rsidRDefault="00266147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 xml:space="preserve">Нюксенского 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от </w:t>
      </w:r>
      <w:r>
        <w:rPr>
          <w:rFonts w:ascii="Times New Roman" w:hAnsi="Times New Roman"/>
          <w:color w:val="000000"/>
          <w:sz w:val="28"/>
          <w:szCs w:val="28"/>
        </w:rPr>
        <w:t>04.07.2025</w:t>
      </w:r>
      <w:r w:rsidRPr="00713AF2">
        <w:rPr>
          <w:rFonts w:ascii="Times New Roman" w:hAnsi="Times New Roman"/>
          <w:color w:val="000000"/>
          <w:sz w:val="28"/>
          <w:szCs w:val="28"/>
        </w:rPr>
        <w:t xml:space="preserve">  №  </w:t>
      </w:r>
      <w:r>
        <w:rPr>
          <w:rFonts w:ascii="Times New Roman" w:hAnsi="Times New Roman"/>
          <w:color w:val="000000"/>
          <w:sz w:val="28"/>
          <w:szCs w:val="28"/>
        </w:rPr>
        <w:t>219</w:t>
      </w:r>
    </w:p>
    <w:p w:rsidR="00713AF2" w:rsidRPr="00713AF2" w:rsidRDefault="00713AF2" w:rsidP="00713AF2">
      <w:pPr>
        <w:ind w:left="6237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«Приложение 2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 xml:space="preserve">Нюксенского 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713AF2" w:rsidRPr="00713AF2" w:rsidRDefault="00713AF2" w:rsidP="00713AF2">
      <w:pPr>
        <w:ind w:left="623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color w:val="000000"/>
          <w:sz w:val="28"/>
          <w:szCs w:val="28"/>
        </w:rPr>
        <w:t>от 14.08.2024  №  279</w:t>
      </w:r>
    </w:p>
    <w:p w:rsidR="00713AF2" w:rsidRPr="00713AF2" w:rsidRDefault="00713AF2" w:rsidP="00713AF2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Cs w:val="24"/>
        </w:rPr>
      </w:pPr>
      <w:r w:rsidRPr="00713AF2">
        <w:rPr>
          <w:rFonts w:cs="Arial"/>
          <w:b/>
          <w:bCs/>
          <w:caps/>
          <w:color w:val="000000"/>
          <w:spacing w:val="100"/>
          <w:sz w:val="22"/>
          <w:szCs w:val="22"/>
        </w:rPr>
        <w:t> </w:t>
      </w:r>
    </w:p>
    <w:p w:rsidR="00713AF2" w:rsidRPr="00713AF2" w:rsidRDefault="00713AF2" w:rsidP="00713AF2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13AF2"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 xml:space="preserve">                   СОСТАВ</w:t>
      </w:r>
    </w:p>
    <w:p w:rsidR="00713AF2" w:rsidRPr="00713AF2" w:rsidRDefault="00713AF2" w:rsidP="00713AF2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AF2">
        <w:rPr>
          <w:rFonts w:ascii="Times New Roman" w:hAnsi="Times New Roman"/>
          <w:b/>
          <w:bCs/>
          <w:color w:val="000000"/>
          <w:sz w:val="28"/>
          <w:szCs w:val="28"/>
        </w:rPr>
        <w:t>контрактной службы администрации Нюксенского муниципального округа</w:t>
      </w:r>
    </w:p>
    <w:p w:rsidR="00713AF2" w:rsidRPr="00713AF2" w:rsidRDefault="00713AF2" w:rsidP="00713AF2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460"/>
        <w:gridCol w:w="6191"/>
      </w:tblGrid>
      <w:tr w:rsidR="00713AF2" w:rsidRPr="00713AF2" w:rsidTr="005052BD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№ 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Ф. И. О. и должность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сотрудника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контрактной службы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Закреплённые обязанности в контрактной службе</w:t>
            </w:r>
          </w:p>
        </w:tc>
      </w:tr>
      <w:tr w:rsidR="00713AF2" w:rsidRPr="00713AF2" w:rsidTr="005052BD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13AF2" w:rsidRPr="00713AF2" w:rsidTr="005052BD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265C59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Тропин А.</w:t>
            </w:r>
            <w:r w:rsidR="00265C59">
              <w:rPr>
                <w:rFonts w:ascii="Times New Roman" w:hAnsi="Times New Roman"/>
                <w:color w:val="000000"/>
                <w:szCs w:val="24"/>
              </w:rPr>
              <w:t>С</w:t>
            </w:r>
            <w:bookmarkStart w:id="0" w:name="_GoBack"/>
            <w:bookmarkEnd w:id="0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., руководитель контрактной службы, </w:t>
            </w:r>
            <w:proofErr w:type="spellStart"/>
            <w:r w:rsidRPr="00713AF2">
              <w:rPr>
                <w:rFonts w:ascii="Times New Roman" w:hAnsi="Times New Roman"/>
                <w:color w:val="000000"/>
                <w:szCs w:val="24"/>
              </w:rPr>
              <w:t>Врип</w:t>
            </w:r>
            <w:proofErr w:type="spellEnd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 главы Нюксенского муниципального округа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1) утверждает план-график закупок;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2) согласовывает заявку на изменения в план-график закупок, подготовленную работником контрактной службы;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3) утверждает способ определения поставщика (подрядчика, исполнителя);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4) принимает и утверждает решение о внесении изменений в извещение об осуществлении закупки;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5) принимает и утверждает решение об отмене определения поставщика (подрядчика, исполнителя);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6) подписывает (заключает) контракт;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7) организует работу по включению в реестр недобросовестных поставщиков (подрядчиков, исполнителей)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8) организует участие в рассмотрении дел об обжаловании действий (бездействия) заказчика и подготовку материалов для осуществления претензионной работы;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9) осуществляет общий контроль исполнения контрактов;</w:t>
            </w:r>
          </w:p>
          <w:p w:rsidR="00713AF2" w:rsidRPr="00713AF2" w:rsidRDefault="00713AF2" w:rsidP="00713AF2">
            <w:pPr>
              <w:ind w:firstLine="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 xml:space="preserve">10) подписывает документы о приёмке результатов отдельных этапов исполнения контракта, а также поставленного товара, выполненных работ (их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результатов), оказанных услуг (далее - документы о приёмке), подписывает усиленной электронной подписью и размещает в единой информационной системе документы о приёмке, формирует с использованием единой информационной системы, подписывает усиленной электронной подписью и размещает в единой информационной системе мотивированные отказы от подписания доку-ментов о приёмке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с указанием причин таких отказов, в том числе в случаях отсутствия ответственных за закупку работников контрактной службы.</w:t>
            </w:r>
          </w:p>
        </w:tc>
      </w:tr>
    </w:tbl>
    <w:p w:rsidR="00713AF2" w:rsidRPr="00713AF2" w:rsidRDefault="00713AF2" w:rsidP="00713AF2">
      <w:pPr>
        <w:jc w:val="both"/>
        <w:rPr>
          <w:rFonts w:cs="Arial"/>
          <w:color w:val="000000"/>
          <w:szCs w:val="24"/>
        </w:rPr>
      </w:pPr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6237"/>
        <w:gridCol w:w="70"/>
      </w:tblGrid>
      <w:tr w:rsidR="00713AF2" w:rsidRPr="00713AF2" w:rsidTr="005052BD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</w:tc>
      </w:tr>
      <w:tr w:rsidR="00713AF2" w:rsidRPr="00713AF2" w:rsidTr="005052BD">
        <w:trPr>
          <w:trHeight w:val="55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3AF2">
              <w:rPr>
                <w:rFonts w:ascii="Times New Roman" w:hAnsi="Times New Roman"/>
                <w:color w:val="000000"/>
                <w:szCs w:val="24"/>
              </w:rPr>
              <w:t>Панева</w:t>
            </w:r>
            <w:proofErr w:type="spellEnd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 Я.С.,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отдела муниципальных закупок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1) в срок до 15 июня текущего года организует сбор информации о потребности в закупках товаров, работ и услуг от структурных подразделений администрации округа, а также обоснования начальной (максимальной) цены контракта, цены контракта, заключаемого с единственным поставщиком (подрядчиком, исполнителем), формирует общую потребность в товарах, работах, услугах на следующий год;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2) после доведения объёма прав в денежном выражении на принятие и (или)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план-график закупок с учётом информации, представленной структурными подразделениями администрации и смет, разработанных МКУ «Центр бухгалтерского учёта»;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3) на основании уведомления о доведённых лимитах бюджетных обязательств, а также на основании согласованной руководителем контрактной службы заявки на изменения в план-график закупок, формирует в ЕИС изменения в план-график закупок;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4) организует работу в ЕИС по утверждению, направлению на контроль и размещению плана-графика закупок руководителем контрактной службы, а также вносимых в него изменений;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5) организует проведение обязательного общественного обсуждения закупок товаров, работ, услуг в соответствии со статьей 20 Федерального закона, по результатам которого на основании решения руководителя контрактной службы вносит изменения в план-график закупок;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6) при осуществлении закупок электронными процедурами: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а) готовит проекта контракта, направляет на согласование консультанту юридического отдела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б) размещает в ЕИС проект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в) организует работу в ЕИС по подписанию контракта руководителем контрактной службы;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7) размещает в ЕИС проекты нормативно-правовых актов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по нормированию в сфере закупок в качестве информации о проведении обсуждения в целях общественного контроля, а также принятые нормативно-правовые акты по нормированию в сфере закупок;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8) размещает в ЕИС протокол о признании победителя электронной процедуры 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уклонившимся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от заключения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9) размещает в реестре контрактов ЕИС, информацию о заключенных заказчиком контрактах по результатам электронных процедур в течение 3-х рабочих дней 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с даты подписания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контрактов.</w:t>
            </w:r>
          </w:p>
        </w:tc>
        <w:tc>
          <w:tcPr>
            <w:tcW w:w="70" w:type="dxa"/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</w:tr>
    </w:tbl>
    <w:p w:rsidR="00713AF2" w:rsidRPr="00713AF2" w:rsidRDefault="00713AF2" w:rsidP="00713AF2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13AF2">
        <w:rPr>
          <w:rFonts w:ascii="Times New Roman" w:hAnsi="Times New Roman"/>
          <w:color w:val="000000"/>
          <w:szCs w:val="24"/>
        </w:rPr>
        <w:lastRenderedPageBreak/>
        <w:t> </w:t>
      </w:r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407"/>
        <w:gridCol w:w="6416"/>
        <w:gridCol w:w="70"/>
      </w:tblGrid>
      <w:tr w:rsidR="00713AF2" w:rsidRPr="00713AF2" w:rsidTr="005052BD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" w:type="dxa"/>
            <w:vMerge w:val="restart"/>
            <w:tcBorders>
              <w:bottom w:val="single" w:sz="6" w:space="0" w:color="000000"/>
            </w:tcBorders>
            <w:hideMark/>
          </w:tcPr>
          <w:p w:rsidR="00713AF2" w:rsidRPr="00713AF2" w:rsidRDefault="00713AF2" w:rsidP="00713AF2">
            <w:pPr>
              <w:spacing w:line="20" w:lineRule="atLeast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13AF2" w:rsidRPr="00713AF2" w:rsidTr="005052BD">
        <w:trPr>
          <w:trHeight w:val="197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консультант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отдела муниципальных закупок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10) на основании представленной информации (сведений) и/или документов от ответственного работника контрактной службы размещает в реестре контрактов ЕИС информацию об изменении, расторжении контрактов, информацию о контрактах, заключенных с единственным поставщиком, заключенных в соответствии с частью 1 статьи 93 Федерального закона, которые подлежат размещению в ЕИС в соответствии с законом о контрактной системе в течение 3-х рабочих дней с даты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подписания вышеуказанных документов.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11) контролирует процент осуществления закупок у субъектов малого предпринимательства и социально ориентированных некоммерческих организаций;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12) на основании представленных информации (сведений) и/или документов от ответственного работника контрактной службы размещает в ЕИС: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а) информацию (сведения) и/или документы об исполнении контракта (отдельного этапа исполнения контракта) – за исключением документов электронной приемки.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б) информацию об изменении /расторжении контракта (в случае наличия соглашения об изменении/ расторжении контракта), в том числе информацию о стоимости исполненных обязательств (об оплате контракта, отдельного этапа исполнения контракта), о начислении (удержании, списании)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13) ведёт реестр закупок в соответствии с бюджетным законодательством (статья 73 </w:t>
            </w:r>
            <w:hyperlink r:id="rId9" w:tgtFrame="_blank" w:history="1">
              <w:r w:rsidRPr="00713AF2">
                <w:rPr>
                  <w:rFonts w:ascii="Times New Roman" w:hAnsi="Times New Roman"/>
                  <w:szCs w:val="24"/>
                </w:rPr>
                <w:t>Бюджетного кодекса</w:t>
              </w:r>
            </w:hyperlink>
            <w:r w:rsidRPr="00713AF2">
              <w:rPr>
                <w:rFonts w:ascii="Times New Roman" w:hAnsi="Times New Roman"/>
                <w:szCs w:val="24"/>
              </w:rPr>
              <w:t>  РФ);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 xml:space="preserve">14) готовит предложения по нормативным затратам на год, следующий за отчётным, а также предложения о внесении изменений в нормативные правовые акты администрации округа по нормативным затратам, организует контроль за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исполнением нормативных затрат;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15) составляет и размещает в ЕИС отчёт об объёме закупок у субъектов малого предпринимательства и социально ориентированных некоммерческих организаций;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16) составляет и размещает в единой информационной системе отчёт об объёме закупок российских товаров, в том числе товаров, поставляемых при выполнении закупаемых работ, оказании закупаемых услуг или направляет его 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уполномоченный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 xml:space="preserve"> Правительством РФ федеральный орган исполнительной власти, осуществляющий оценку выполнения заказчиком обязанности, предусмотренной частью 1 статьи 30.1 Федерального закона;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13AF2" w:rsidRPr="00713AF2" w:rsidRDefault="00713AF2" w:rsidP="00713AF2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13AF2">
        <w:rPr>
          <w:rFonts w:ascii="Times New Roman" w:hAnsi="Times New Roman"/>
          <w:color w:val="000000"/>
          <w:szCs w:val="24"/>
        </w:rPr>
        <w:lastRenderedPageBreak/>
        <w:t> </w:t>
      </w:r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428"/>
        <w:gridCol w:w="2587"/>
        <w:gridCol w:w="6379"/>
        <w:gridCol w:w="70"/>
      </w:tblGrid>
      <w:tr w:rsidR="00713AF2" w:rsidRPr="00713AF2" w:rsidTr="005052BD"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13AF2" w:rsidRPr="00713AF2" w:rsidTr="005052BD">
        <w:trPr>
          <w:trHeight w:val="1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17) организует сбор и осуществляет хранение не менее шести лет с момента начала закупки информации и документов, предусмотренных Федеральным законом, формируемых и составляемых заказчиком (за исключением формируемых и размещаемых в единой информационной системе и (или) на электронной площадке, (специализированной электронной площадке), а также полученные заказчиком при определении в соответствии с Федеральным законом начальной (максимальной) цены контракта, цены контракта, заключаемого с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единственным поставщиком (подрядчиком, исполнителем), начальных цен единиц товара (работы, услуги), начальной суммы цен указанных единиц, максимального значения цены контракта, при обосновании (за исключением включаемых в контракт в качестве обоснования цены контракта, заключаемого с единственным поставщиком (подрядчиком, исполнителем), в соответствии с частью 4 статьи 93 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18) заносит информацию о заключенных контрактах в ЕЦИС (единая централизованная информационная система бюджетного (бухгалтерского) учёта и отчётности);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19) участвует в работе комиссии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администрацией Нюксенского муниципального района (заказчиком) в связи с неиспользованием или ненадлежащим исполнением обязательств, предусмотренных контрактом;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20) осуществляет рассмотрение и проверку независимых гарантий, поступивших в качестве обеспечения исполнения контрактов, обеспечения гарантийных обязательств на соответствие требованиям закона о контрактной системе;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21) в случае отказа в принятии независимой гарантии информирует об этом лицо, предоставившее независимую гарантию, с указанием причин, послуживших основанием для отказа;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22) организует проверку поступления денежных средств от участника закупки, с которым заключается контракт, на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счёт заказчика, внесённых в качестве обеспечения исполнения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23) направляет в федеральный орган исполнительной власти, уполномоченный на осуществление контроля в сфере закупок, информацию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представленную работником контрактной службы в соответствии с требованиями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закона о контрактной системе, для включения данной информации в реестр недобросовестных поставщиков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</w:tc>
      </w:tr>
      <w:tr w:rsidR="00713AF2" w:rsidRPr="00713AF2" w:rsidTr="005052BD">
        <w:trPr>
          <w:trHeight w:val="24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Власова Е.В.,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инспектор 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управления по обеспечению деятельности администрации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1) направляет в МКУ «Межведомственная централизованная бухгалтерия» необходимые документы для оплаты поставляемого товара, выполненной работы (её результатов), оказанной услуги, а также отдельных этапов исполнения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2) осуществляет работу с базой данных в системе УРМ (удаленное рабочее место АС «Бюджет»);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3) контролирует подписание документов об исполнении контрактов, размещаемых в системе СБИС.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</w:tc>
      </w:tr>
      <w:tr w:rsidR="00713AF2" w:rsidRPr="00713AF2" w:rsidTr="005052BD">
        <w:trPr>
          <w:trHeight w:val="55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Расторгуева Ю.В., консультант юридического отдела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1) представляет руководителю контрактной службы контракт, подписанный поставщиком (подрядчиком, исполнителем), для подписания, за исключением случаев заключения контракта по результатам электронной процедуры;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2) при осуществлении закупок электронными процедурами: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а) не позднее одного 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рабочего дня, следующего за днём получения от консультанта отдела муниципальных закупок согласовывает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 xml:space="preserve"> проект контракта и направляет его для размещения его в ЕИС;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б) в случае наличия разногласий по проекту контракта со стороны победителя электронной процедуры рассматривает протокол разногласий и направляет по электронной почте консультанту отдела муниципального заказа доработанный проект контракта либо повторно проект контракта с указанием в отдельном документе причин отказа и невозможности учесть полностью или частично содержащиеся в протоколе разногласий замечания победителя электронной процедуры для размещения его в ЕИС и на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электронной площадке с использованием ЕИС;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3) в случаях неисполнения или ненадлежащего исполнения поставщиком (подрядчиком, исполнителем) обязательств, предусмотренных контрактом, на основании представленных структурными подразделениями информации и документов при их обращении оказывает консультативные услуги либо составляет претензии, требования об уплате неустоек (штрафа, пени) для направления их поставщикам (подрядчикам, исполнителям); 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lastRenderedPageBreak/>
              <w:t>4) участвует в рассмотрении дел об обжаловании действий (бездействия) заказчика и осуществляет подготовку материалов для осуществления претензионной работы.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</w:tc>
      </w:tr>
      <w:tr w:rsidR="00713AF2" w:rsidRPr="00713AF2" w:rsidTr="005052BD">
        <w:trPr>
          <w:trHeight w:val="25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</w:tc>
      </w:tr>
      <w:tr w:rsidR="00713AF2" w:rsidRPr="00713AF2" w:rsidTr="005052BD">
        <w:trPr>
          <w:trHeight w:val="982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6.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консультант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отдела муниципальных закупок</w:t>
            </w: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1) осуществляет рассмотрение и проверку независимых гарантий, поступивших в качестве обеспечения исполнения контрактов, обеспечения гарантийных обязательств на соответствие требованиям закона о 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контрактной системе;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2) в случае отказа в принятии независимой гарантии информирует об этом лицо, предоставившее независимую гарантию, с указанием причин, послуживших основанием для отказа;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3) организует проверку поступления денежных средств от участника закупки, с которым заключается контракт, на счёт заказчика, внесённых в качестве обеспечения исполнения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4) готовит проект соглашения об изменении, расторжении контракта, в том числе решение об одностороннем отказе заказчика от исполнения контракта, в порядке, предусмотренном статьёй 95 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5) направляет в федеральный орган исполнительной власти, уполномоченный на осуществление контроля в сфере закупок, информацию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представленную работником контрактной службы в соответствии с требованиями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закона о контрактной системе, для включения данной информации в реестр недобросовестных поставщиков.</w:t>
            </w:r>
          </w:p>
        </w:tc>
        <w:tc>
          <w:tcPr>
            <w:tcW w:w="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13AF2" w:rsidRPr="00713AF2" w:rsidTr="005052BD">
        <w:trPr>
          <w:gridAfter w:val="4"/>
          <w:wAfter w:w="9464" w:type="dxa"/>
          <w:trHeight w:val="20"/>
        </w:trPr>
        <w:tc>
          <w:tcPr>
            <w:tcW w:w="70" w:type="dxa"/>
            <w:tcBorders>
              <w:top w:val="single" w:sz="6" w:space="0" w:color="000000"/>
            </w:tcBorders>
            <w:hideMark/>
          </w:tcPr>
          <w:p w:rsidR="00713AF2" w:rsidRPr="00713AF2" w:rsidRDefault="00713AF2" w:rsidP="00713AF2">
            <w:pPr>
              <w:spacing w:line="2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713AF2" w:rsidRPr="00713AF2" w:rsidRDefault="00713AF2" w:rsidP="00713AF2">
      <w:pPr>
        <w:rPr>
          <w:rFonts w:ascii="Times New Roman" w:hAnsi="Times New Roman"/>
          <w:color w:val="000000"/>
          <w:szCs w:val="24"/>
        </w:rPr>
      </w:pPr>
    </w:p>
    <w:tbl>
      <w:tblPr>
        <w:tblW w:w="9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27"/>
        <w:gridCol w:w="6087"/>
        <w:gridCol w:w="28"/>
      </w:tblGrid>
      <w:tr w:rsidR="00713AF2" w:rsidRPr="00713AF2" w:rsidTr="005052BD">
        <w:trPr>
          <w:trHeight w:val="2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7.</w:t>
            </w: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8.</w:t>
            </w: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9.</w:t>
            </w: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10</w:t>
            </w: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11</w:t>
            </w: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13AF2">
              <w:rPr>
                <w:rFonts w:ascii="Times New Roman" w:hAnsi="Times New Roman"/>
                <w:szCs w:val="24"/>
              </w:rPr>
              <w:lastRenderedPageBreak/>
              <w:t>Панева</w:t>
            </w:r>
            <w:proofErr w:type="spellEnd"/>
            <w:r w:rsidRPr="00713AF2">
              <w:rPr>
                <w:rFonts w:ascii="Times New Roman" w:hAnsi="Times New Roman"/>
                <w:szCs w:val="24"/>
              </w:rPr>
              <w:t xml:space="preserve"> Я.С. начальник отдела закупок;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Теребова С.А. заместитель главы;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Чупров А.А., заместитель главы, начальник народно-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хозяйственного комплекса;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Епифановская С.П. управляющий делами;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Лихачева Н.Н.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начальник юридического отдела;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начальник отдела 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информационных</w:t>
            </w:r>
          </w:p>
          <w:p w:rsidR="00713AF2" w:rsidRPr="00713AF2" w:rsidRDefault="00713AF2" w:rsidP="00713AF2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13AF2">
              <w:rPr>
                <w:rFonts w:ascii="Times New Roman" w:hAnsi="Times New Roman"/>
                <w:szCs w:val="24"/>
              </w:rPr>
              <w:t>технологий;</w:t>
            </w:r>
            <w:r w:rsidRPr="00713AF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eastAsia="Calibri" w:hAnsi="Times New Roman"/>
                <w:szCs w:val="24"/>
                <w:lang w:eastAsia="en-US"/>
              </w:rPr>
              <w:t>Теребова М.В.</w:t>
            </w:r>
          </w:p>
          <w:p w:rsidR="00713AF2" w:rsidRPr="00713AF2" w:rsidRDefault="00713AF2" w:rsidP="00713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/>
                <w:szCs w:val="24"/>
              </w:rPr>
            </w:pPr>
            <w:r w:rsidRPr="00713AF2">
              <w:rPr>
                <w:rFonts w:ascii="Times New Roman" w:hAnsi="Times New Roman"/>
                <w:bCs/>
                <w:szCs w:val="24"/>
              </w:rPr>
              <w:t xml:space="preserve">начальник </w:t>
            </w:r>
            <w:r w:rsidRPr="00713AF2">
              <w:rPr>
                <w:rFonts w:ascii="Times New Roman" w:hAnsi="Times New Roman"/>
                <w:bCs/>
                <w:color w:val="000000"/>
                <w:szCs w:val="24"/>
              </w:rPr>
              <w:t xml:space="preserve">отдела архитектуры, градостроительства и благоустройства; </w:t>
            </w: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13AF2">
              <w:rPr>
                <w:rFonts w:ascii="Times New Roman" w:eastAsia="Calibri" w:hAnsi="Times New Roman"/>
                <w:szCs w:val="24"/>
                <w:lang w:eastAsia="en-US"/>
              </w:rPr>
              <w:t>начальник отдела строительства дорожной деятельности и ЖКХ;</w:t>
            </w: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13AF2">
              <w:rPr>
                <w:rFonts w:ascii="Times New Roman" w:eastAsia="Calibri" w:hAnsi="Times New Roman"/>
                <w:szCs w:val="24"/>
                <w:lang w:eastAsia="en-US"/>
              </w:rPr>
              <w:t>Кривошеев А.П. к</w:t>
            </w:r>
            <w:r w:rsidRPr="00713AF2">
              <w:rPr>
                <w:rFonts w:ascii="Times New Roman" w:hAnsi="Times New Roman"/>
                <w:szCs w:val="24"/>
                <w:lang w:eastAsia="en-US"/>
              </w:rPr>
              <w:t>онсультант природных ресурсов</w:t>
            </w:r>
            <w:r w:rsidRPr="00713AF2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713AF2" w:rsidRPr="00713AF2" w:rsidRDefault="00713AF2" w:rsidP="00713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713AF2">
              <w:rPr>
                <w:rFonts w:ascii="Times New Roman" w:hAnsi="Times New Roman"/>
                <w:bCs/>
                <w:szCs w:val="24"/>
              </w:rPr>
              <w:t>консультант отдела по мобилизационной работе, делам ГО и ЧС, защите государственной тайны.</w:t>
            </w: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13AF2">
              <w:rPr>
                <w:rFonts w:ascii="Times New Roman" w:hAnsi="Times New Roman"/>
                <w:szCs w:val="24"/>
              </w:rPr>
              <w:t>Панева</w:t>
            </w:r>
            <w:proofErr w:type="spellEnd"/>
            <w:r w:rsidRPr="00713AF2">
              <w:rPr>
                <w:rFonts w:ascii="Times New Roman" w:hAnsi="Times New Roman"/>
                <w:szCs w:val="24"/>
              </w:rPr>
              <w:t xml:space="preserve"> Я.С.,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начальник отдела закупок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консультант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отдела муниципальных закупок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13AF2">
              <w:rPr>
                <w:rFonts w:ascii="Times New Roman" w:hAnsi="Times New Roman"/>
                <w:szCs w:val="24"/>
              </w:rPr>
              <w:t>Панева</w:t>
            </w:r>
            <w:proofErr w:type="spellEnd"/>
            <w:r w:rsidRPr="00713AF2">
              <w:rPr>
                <w:rFonts w:ascii="Times New Roman" w:hAnsi="Times New Roman"/>
                <w:szCs w:val="24"/>
              </w:rPr>
              <w:t xml:space="preserve"> Я.С.,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начальник отдела закупок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консультант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отдела муниципальных закупок</w:t>
            </w: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13AF2" w:rsidRPr="00713AF2" w:rsidRDefault="00713AF2" w:rsidP="00713AF2">
            <w:pPr>
              <w:rPr>
                <w:rFonts w:ascii="Times New Roman" w:hAnsi="Times New Roman"/>
                <w:szCs w:val="24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713AF2" w:rsidRPr="00713AF2" w:rsidRDefault="00713AF2" w:rsidP="00713AF2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lastRenderedPageBreak/>
              <w:t>1) в срок до 15 июня текущего года формирует информацию о потребности в закупках товаров, работ и услуг на следующий год и предоставляет консультанту отдела муниципальных закупок, а также обоснование начальной (максимальной) цены контракта, цены контракта, заключаемого с единственным поставщиком (подрядчиком, исполнителем);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lastRenderedPageBreak/>
              <w:t>2) организует работу на стадии планирования закупок, консультаций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3) выбирает способ определения поставщика (подрядчика, исполнителя);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4) осуществляет подготовку, подписание и направление заявки в уполномоченный орган по определению поставщика (подрядчика, исполнителя) (отдел муниципальных закупок), согласно постановлению администрации Нюксенского муниципального округа  </w:t>
            </w:r>
            <w:r w:rsidRPr="00713AF2">
              <w:rPr>
                <w:rFonts w:ascii="Times New Roman" w:hAnsi="Times New Roman"/>
                <w:szCs w:val="24"/>
              </w:rPr>
              <w:t>«О наделении администрации Нюксенского муниципального округа Вологодской области полномочиями на определение поставщиков (подрядчиков, исполнителей) для муниципальных заказчиков и утверждении порядка взаимодействия администрации Нюксенского муниципального округа Вологодской области с муниципальными заказчиками при проведении закупок» о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t>т 05.08.2024 № 269</w:t>
            </w:r>
            <w:proofErr w:type="gramEnd"/>
            <w:r w:rsidRPr="00713A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t>для формирования и размещения в единой информационной системе извещений об осуществлении закупок, документации о закупках (в случае, если Федеральным законом предусмотрена документация о закупке), проектов контрактов, подготовку и направление приглашений принять участие в определении поставщиков (подрядчиков, исполнителей) а именно: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а) определяет и обосновывает начальную (максимальную) цену контракта, цену контракта, начальную цену единицы товара, работы, услуги, начальную сумму цен единиц товаров, работ, услуг, максимальное значение цены контракта;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б) осуществляет описание объекта закупки;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в) указывает информацию, предусмотренную статьёй 42 Федерального закона, в том числе информацию: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      </w:r>
          </w:p>
          <w:p w:rsidR="00713AF2" w:rsidRPr="00713AF2" w:rsidRDefault="00713AF2" w:rsidP="00713AF2">
            <w:pPr>
              <w:ind w:firstLine="31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 преимуществе в отношении участников закупок, установленном в соответствии со статьей 30 Федерального закона (при необходимости);</w:t>
            </w:r>
          </w:p>
          <w:p w:rsidR="00713AF2" w:rsidRPr="00713AF2" w:rsidRDefault="00713AF2" w:rsidP="00713AF2">
            <w:pPr>
              <w:ind w:firstLine="31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о преимуществах, предоставляемых в соответствии со статьями 28, 29 Федерального закона;</w:t>
            </w:r>
          </w:p>
          <w:p w:rsidR="00713AF2" w:rsidRPr="00713AF2" w:rsidRDefault="00713AF2" w:rsidP="00713AF2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г) </w:t>
            </w: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при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проведения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 конкурса определяет критерии оценки заявок участников;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5) обеспечивает осуществление закупок у субъектов малого предпринимательства и социально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ориентированных некоммерческих организаций, устанавливает требования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6)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7) на основании решения руководителя контрактной службы осуществляет подготовку решения по внесению изменений в извещение об осуществлении закупки, или решения об отмене определения поставщика (подрядчика, исполнителя), в том числе и по результатам общественного обсуждения закупки, предоставляет такое решение в уполномоченный орган;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8) готовит и направляет в уполномоченный орган в письменной форме или в форме электронного документа разъяснения положений извещения о закупке;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9) готовит и направляет в контрольный орган в сфере закупок предусмотренное частью 6 статьи 93 Федерального закона обращение о согласовании заключения контракта с единственным поставщиком (подрядчиком, исполнителем);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10) готовит и направляет в контрольный орган в сфере закупок уведомление о заключении контракта с единственным поставщиком (подрядчиком, исполнителем) в случаях, установленных частью 2 статьи 93 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11) направляет в контрольный орган в сфере закупок проект контракта, до направления такого контракта участнику закупки, с которым заключается контракт в соответствии Федеральным законом без использования ЕИС в случаях, предусмотренных пунктами 2, 3, 6, 7, 10 – 14, 16, 17, 19, 22, 31 – 33, 35, 37 – 39, 47, 48, 54, 55 части 1 статьи 93 Федерального закона;</w:t>
            </w:r>
            <w:proofErr w:type="gramEnd"/>
          </w:p>
          <w:p w:rsidR="00713AF2" w:rsidRPr="00713AF2" w:rsidRDefault="00713AF2" w:rsidP="00713AF2">
            <w:pPr>
              <w:spacing w:line="2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12) в течение одного рабочего дня, с даты подписания контрактов с единственным поставщиком, заключенных в соответствии с частью 1 статьи 93, которые подлежат размещению в ЕИС в соответствии с законом о контрактной системе, соглашений об изменении, о расторжении  контрактов (в том числе соглашений об изменении, о расторжении контрактов, заключенных по результатам электронных процедур),  информации и документов об обеспечении поставщиком (подрядчиком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, исполнителем) гарантийных обязательств и передаёт копии вышеуказанных документов и информацию консультанту отдела муниципальных закупок для размещения их в реестре контрактов, в ЕИС;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13) обеспечивает заключение контракта с участником закупки, в том 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числе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с которым заключается контракт в случае уклонения победителя определения (поставщика (подрядчика, исполнителя) от заключения контракта: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lastRenderedPageBreak/>
              <w:t>13.1) взаимодействует с поставщиком (подрядчиком, исполнителем) при направлении ему проекта контракта для подписания;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13.2) проверяет подписанный поставщиком (подрядчиком, исполнителем) и представленный заказчику проект контракта, а в случае установления требования об обеспечении гарантийных обязательств - проверяет соблюдение указанного требования поставщиком (подрядчиком, исполнителем);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13.3) обеспечивает соблюдение сроков, установленных действующим законодательством РФ для направления проекта контракта поставщику (подрядчику, исполнителю) и заключения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13.4) направляет экземпляр заключённого контракта поставщику (подрядчику, исполнителю), а кроме того предоставляет копию такого контракта консультанту отдела муниципальных закупок администрации (за исключением контрактов, заключаемых по результатам проведения электронных процедур);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14) взаимодействует с поставщиком (подрядчиком, исполнителем) при изменении, расторжении контракта в соответствии со статьёй 95 Федерального закона, направляет информацию о необходимости изменения или расторжения контракта старшему юрисконсульту правового управления;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15) обеспечивает исполнение условий контракта в части выплаты аванса (если контрактом предусмотрена выплата аванса);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16) в случаях неисполнения или ненадлежащего исполнения поставщиком (подрядчиком, исполнителем) обязательств, предусмотренных контрактом, направляет такую информацию и необходимые документы для составления претензий, требований об уплате неустоек (штрафов, пеней) старшему юрисконсульту правового управления;</w:t>
            </w:r>
          </w:p>
          <w:p w:rsidR="00713AF2" w:rsidRPr="00713AF2" w:rsidRDefault="00713AF2" w:rsidP="00713AF2">
            <w:pPr>
              <w:spacing w:line="2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16.1) направляет поставщику (подрядчику, исполнителю) претензии, требования об уплате неустоек (штрафов, пеней), другие письма и уведомления способом, обеспечивающим подтверждение получения указанных документов поставщиком (подрядчиком, исполнителем), которому они направлены, а в случае обмена документами 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 xml:space="preserve">, закрытых электронных процедур, осуществляет такой обмен с использованием единой информационной системы путем направления электронных уведомлений, в том числе формирует такие уведомления с использованием единой информационной системы и обеспечивает размещение их в единой информационной системе без размещения на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официальном сайте;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17) за исключением случая создания приемочной комиссии в соответствии с частью 6 статьи 94 Федерального закона осуществляет приёмку поставляемого товара, выполненной работы (её результатов), оказанной услуги, а также отдельных этапов поставки товара, выполнения работы, оказания услуги, в том числе: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а) за исключением случая, предусмотренного пунктом 17.2 столбца 3 строки 4 настоящего приложения, проверяет предоставленные поставщиком (подрядчиком, исполнителем) результаты, предусмотренные контрактом, в части их соответствия условиям контракта, проверяет поступившие от поставщика (подрядчика, исполнителя) документы о приёмке поставленного товара, выполненных работ (их результатов), оказанных услуг, а также результатов отдельного этапа исполнения контракта, и в сроки, установленные контрактом, подписывает данные документы о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приёмке, либо оформляет в письменной форме мотивированный отказ от подписания данных документов о приемке и направляет его поставщику (подрядчику, исполнителю);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б) по контрактам, заключенным по результатам проведения электронных процедур  в срок, установленный контрактом в соответствии с пунктом 4 части 13 статьи 94 Федерального закона, осуществляет одно из следующих действий:</w:t>
            </w:r>
          </w:p>
          <w:p w:rsidR="00713AF2" w:rsidRPr="00713AF2" w:rsidRDefault="00713AF2" w:rsidP="00713AF2">
            <w:pPr>
              <w:ind w:firstLine="318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при получении документа о приёмке товаров, работ, услуг в электронной форме, сформированного посредством единой информационной системы в сфере закупок, осуществляет проверку информации, указанной в документе о приёмке и осуществляет подписание усиленной электронной подписью документа о приемке и размещение его в единой информационной системе;</w:t>
            </w:r>
          </w:p>
          <w:p w:rsidR="00713AF2" w:rsidRPr="00713AF2" w:rsidRDefault="00713AF2" w:rsidP="00713AF2">
            <w:pPr>
              <w:ind w:firstLine="318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в случае несоответствия информации, указанной в документе о приёмке, фактически поставленному товару (выполненной работе, оказанной услуге), указывает в структурированной форме фактически принятые товары по каждой позиции (результаты выполненных работ, оказанных услуг) или отражает решение об отказе от приёмки товаров (результатов выполненных работ, оказанных услуг), осуществляет подписание и направление поставщику в единой информационной системе документов о приёмке либо направляет мотивированный отказ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от подписания документа о приёмке с указанием причин, либо формирует и направляет поставщику в единой информационной системе уведомление об уточнении;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18) предоставляет консультанту отдела муниципальных закупок подписанные документы о приёмке поставляемого товара, выполненной работы (её результатов), оказанной услуги, а также отдельных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этапов поставки товара, выполнения работ, оказания услуг, в течение одного рабочего дня с даты их подписания, в том числе с визой руководителя контрактной службы «К оплате»;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19) организует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20) в случае необходимости обеспечивает создание приёмочной комиссии не менее чем из пяти человек для приёмки поставленного товара, выполненной работы или оказанной услуги, результатов отдельного этапа исполнения контракта.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В случае создания в соответствии с частью 6 статьи 94 Федерального закона приёмочной комиссии в срок, установленный контрактом, члены приёмочной комиссии подписывают усиленными электронными подписями поступивший документ о приёмке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приёмке с указанием причин.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21) при осуществлении закупки у единственного поставщика (подрядчика, исполнителя) в случаях, предусмотренных пунктами 4, 5, 18, 30, 42, 49, 54 и 59 части 1 статьи 93 Федерального закона, проверяет соответствие участников закупок требованиям, указанным в части 1 статьи 31 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22) участвует в рассмотрении дел об обжаловании действий (бездействия) заказчика и осуществляет подготовку материалов для осуществления претензионной работы;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23) организует работу по включению в реестр недобросовестных поставщиков (подрядчиков, исполнителей)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этими поставщиками (подрядчиками, исполнителями) условий контрактов;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24) обеспечивает направление сведений и документов, предусмотренных Федеральным законом, и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необходимых для включения в реестр недобросовестных поставщиков (подрядчиков, исполнителей) указанной в пункте 23 информации старшему юрисконсульту правового управления;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25) принимает участие в утверждении требований к закупаемым отдельным видам товаров, работ, услуг (в том числе предельным ценам товаров, работ, услуг) и (или) нормативным затратам на обеспечение функций администрации округа;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26) обеспечивает исполнение условий контракта, в том числе контроль соблюдения сроков оплаты поставленного товара, выполненной работы (её результатов), оказанной услуги, а также отдельных этапов исполнения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27) обеспечивает исполнение условий контракта в части возврата поставщику (подрядчику, исполнителю) денежных средств, внесённых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обеспечения гарантийных обязательств (если такая форма обеспечения гарантийных обязательств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27 статьи 34 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28) в случаях, предусмотренных Федеральным законом, признает участника закупки уклонившимся от заключения контракта по результатам проведения электронной процедуры, составляет и подписывает протокол о признании победителя электронной процедуры уклонившимся от заключения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29) в случаях, определения поставщика (подрядчика, исполнителя) при использовании электронной системы «Электронный магазин»: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29.1) организует подготовку описания объекта закупки;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29.2) размещает сообщение о потребности в товарах, работах, услугах (далее – сообщение о потребности) в электронной системе «Электронный магазин»;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29.3) обеспечивает подписание контракта путём направления поставщику (подрядчику, исполнителю) проекта контракта с включёнными условиями, предусмотренными сообщением о потребности, и ценовым предложением поставщика (подрядчика, исполнителя) с использованием электронной системы «Электронный магазин»;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29.4) при наличии протокола разногласий рассматривает и направляет с использованием электронной системы «Электронный магазин» доработанный проект контракта либо повторно направляет проект контракта с указанием в сопроводительном письме причин отказа учесть полностью или частично содержащиеся в </w:t>
            </w:r>
            <w:r w:rsidRPr="00713AF2">
              <w:rPr>
                <w:rFonts w:ascii="Times New Roman" w:hAnsi="Times New Roman"/>
                <w:szCs w:val="24"/>
              </w:rPr>
              <w:lastRenderedPageBreak/>
              <w:t>протоколе разногласий замечания;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29.5) обеспечивает осуществление иных действий, предусмотренных электронной системой «Электронный магазин»;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30) исполняет прочие поручения руководителя контрактной службы; 31) в случае, если по итогам года объём закупок российских товаров, в том числе товаров, поставляемых при выполнении закупаемых работ, оказании закупаемых услуг, не соответствует минимальной доле закупок, обосновывает невозможность достижения минимальной доли закупок и направляет данные обоснования консультанту отдела потребительского рынка и муниципальных закупок.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szCs w:val="24"/>
              </w:rPr>
              <w:t>32)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готовит и направляет поставщику (подрядчику, исполнителю) требование об уплате неустоек (штрафов, пеней) способом, обеспечивающим подтверждение получения данного требования поставщиком (подрядчиком, исполнителем), которому оно направлено, а в случае обмена документами</w:t>
            </w:r>
            <w:proofErr w:type="gramEnd"/>
            <w:r w:rsidRPr="00713AF2">
              <w:rPr>
                <w:rFonts w:ascii="Times New Roman" w:hAnsi="Times New Roman"/>
                <w:szCs w:val="24"/>
              </w:rPr>
              <w:t> </w:t>
            </w:r>
            <w:proofErr w:type="gramStart"/>
            <w:r w:rsidRPr="00713AF2">
              <w:rPr>
                <w:rFonts w:ascii="Times New Roman" w:hAnsi="Times New Roman"/>
                <w:szCs w:val="24"/>
              </w:rPr>
              <w:t>при применении мер ответственности в связи с нарушением поставщиком (подрядчиком, исполнителем) условий контракта в отношении контракта, заключенного по результатам электронных процедур, закрытых электронных процедур, осуществляет такой обмен с использованием единой информационной системы путем направления электронных уведомлений, в том числе формирует такие уведомления с использованием единой информационной системы и обеспечивает размещение их в единой информационной системе без размещения на официальном сайте;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33) обеспечивает сверку расчётов с поставщиком (подрядчиком, исполнителем) по начисленным и неуплаченным суммам неустоек (штрафов, пеней);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34) готовит протокол о списании сумм неустоек (штрафов, пеней) и оформляет решение о списании начисленной и неуплаченной суммы неустоек (штрафов, пеней);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35) готовит и размещает в единой информационной системе, а также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размера, также совершает иные действия в случае нарушения поставщиком (подрядчиком, исполнителем) условий контракта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1) Составляет и размещает в ЕИС отчёт об объёме закупок у субъектов малого предпринимательства и 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lastRenderedPageBreak/>
              <w:t>социально ориентированных некоммерческих организаций;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2) составляет и размещает в единой информационной системе отчёт об объёме закупок российских товаров, в том числе товаров, поставляемых при выполнении закупаемых работ, оказании закупаемых услуг или направляет его </w:t>
            </w: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> </w:t>
            </w: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уполномоченный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> Правительством Российской Федерации федеральный орган исполнительной власти, осуществляющий оценку выполнения заказчиком обязанности, предусмотренной </w:t>
            </w:r>
            <w:r w:rsidRPr="00713AF2">
              <w:rPr>
                <w:rFonts w:ascii="Times New Roman" w:hAnsi="Times New Roman"/>
                <w:szCs w:val="24"/>
              </w:rPr>
              <w:t>частью 1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t> статьи 30.1 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3) участвует в работе комиссии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администрацией Нюксенского муниципального района (заказчиком) в связи с неиспользованием или ненадлежащим исполнением обязательств, предусмотренных контрактом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1) размещает в ЕИС проект контракта, согласованный консультантом юридического отдела;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2) организует работу в ЕИС по подписанию контракта руководителем контрактной службы;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3) размещает в ЕИС проекты нормативно-правовых актов по нормированию в сфере закупок в качестве информации о проведении обсуждения в целях общественного контроля, а также принятые нормативно-правовые акты по нормированию в сфере закупок;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4) размещает в ЕИС протокол о признании победителя электронной процедуры </w:t>
            </w: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уклонившимся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> от заключения контракта;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5) контролирует процент осуществления закупок у субъектов малого предпринимательства и социально ориентированных некоммерческих организаций;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6) готовит предложения по нормативным затратам на год, следующий за отчётным, а также предложения о внесении изменений в нормативные правовые акты администрации округа по нормативным затратам, организует контроль за исполнением нормативных затрат;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7) организует сбор и осуществляет хранение не менее шести лет с момента начала закупки информации и документов, предусмотренных Федеральным законом, формируемых и составляемых заказчиком (за исключением формируемых и размещаемых в единой информационной системе и (или) на электронной площадке, (специализированной электронной площадке), а также полученные заказчиком при определении в соответствии с Федеральным законом начальной (максимальной) цены контракта, цены контракта, заключаемого с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 единственным поставщиком (подрядчиком, исполнителем), начальных цен единиц 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lastRenderedPageBreak/>
              <w:t>товара (работы, услуги), начальной суммы цен указанных единиц, максимального значения цены контракта, при обосновании (за исключением включаемых в контракт в качестве обоснования цены контракта, заключаемого с единственным поставщиком (подрядчиком, исполнителем), в соответствии с частью 4 статьи 93 Федерального закона;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8) размещать в ЕИС проекты нормативных правовых актов по нормированию в сфере закупок, а именно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соответственно и подведомственные казенные учреждения)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1) в срок до 15 июня текущего года организует сбор информации о потребности в закупках товаров, работ и услуг от структурных подразделений администрации округа, а также обоснования начальной (максимальной) цены контракта, цены контракта, заключаемого с единственным поставщиком (подрядчиком, исполнителем), формирует общую потребность в товарах, работах, услугах у администрации округа на следующий год;</w:t>
            </w:r>
            <w:proofErr w:type="gramEnd"/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2) после доведения объёма прав в денежном выражении на принятие и (или)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план-график закупок с учётом информации, представленной структурными подразделениями администрации и смет, </w:t>
            </w:r>
            <w:r w:rsidRPr="00713AF2">
              <w:rPr>
                <w:rFonts w:ascii="Times New Roman" w:hAnsi="Times New Roman"/>
                <w:szCs w:val="24"/>
              </w:rPr>
              <w:t>МКУ «Межведомственная централизованная бухгалтерия»;</w:t>
            </w:r>
          </w:p>
          <w:p w:rsidR="00713AF2" w:rsidRPr="00713AF2" w:rsidRDefault="00713AF2" w:rsidP="00713AF2">
            <w:pPr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 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t>3) на основании уведомления о доведённых лимитах бюджетных обязательств, а также на основании согласованной руководителем контрактной службы заявки на изменения в план-график закупок, формирует в ЕИС изменения в план-график закупок;</w:t>
            </w:r>
          </w:p>
          <w:p w:rsidR="00713AF2" w:rsidRPr="00713AF2" w:rsidRDefault="00713AF2" w:rsidP="00713AF2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4) организует работу в ЕИС по утверждению, направлению на контроль и размещению плана-графика закупок руководителем контрактной службы, а также вносимых в него изменений»</w:t>
            </w:r>
          </w:p>
          <w:p w:rsidR="00713AF2" w:rsidRPr="00713AF2" w:rsidRDefault="00713AF2" w:rsidP="00713AF2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1) размещает в реестре контрактов ЕИС, информацию о заключенных заказчиком контрактах по результатам электронных процедур в течение 3-х рабочих дней </w:t>
            </w: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с даты подписания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> контрактов;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2) на основании представленной информации (сведений) и/или документов от ответственного работника контрактной службы  размещает в реестре контрактов ЕИС информацию об изменении, расторжении контрактов, информацию о контрактах, заключенных с единственным поставщиком, заключенных в соответствии с частью 1 статьи 93 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lastRenderedPageBreak/>
              <w:t>Федерального закона, которые подлежат размещению в ЕИС в соответствии с законом о контрактной системе в течение 3-х рабочих дней с даты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> подписания вышеуказанных документов;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3) на основании представленных информации (сведений) и/или документов от ответственного работника контрактной службы размещает в ЕИС;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4) информацию (сведения) и/или документы об исполнении контракта (отдельного этапа исполнения контракта) - за исключением документов электронной приемки;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13AF2">
              <w:rPr>
                <w:rFonts w:ascii="Times New Roman" w:hAnsi="Times New Roman"/>
                <w:color w:val="000000"/>
                <w:szCs w:val="24"/>
              </w:rPr>
              <w:t>5) информацию об изменении /расторжении контракта (в случае наличия соглашения об изменении/ расторжении контракта), в том числе информацию о стоимости исполненных обязательств (об оплате контракта, отдельного этапа исполнения контракта), о начислении (удержании, списании)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</w:t>
            </w:r>
            <w:proofErr w:type="gramEnd"/>
            <w:r w:rsidRPr="00713AF2">
              <w:rPr>
                <w:rFonts w:ascii="Times New Roman" w:hAnsi="Times New Roman"/>
                <w:color w:val="000000"/>
                <w:szCs w:val="24"/>
              </w:rPr>
              <w:t> 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 xml:space="preserve">6) ведёт реестр закупок в соответствии с бюджетным законодательством (статья </w:t>
            </w:r>
            <w:r w:rsidRPr="00713AF2">
              <w:rPr>
                <w:rFonts w:ascii="Times New Roman" w:hAnsi="Times New Roman"/>
                <w:szCs w:val="24"/>
              </w:rPr>
              <w:t>73 </w:t>
            </w:r>
            <w:hyperlink r:id="rId10" w:tgtFrame="_blank" w:history="1">
              <w:r w:rsidRPr="00713AF2">
                <w:rPr>
                  <w:rFonts w:ascii="Times New Roman" w:hAnsi="Times New Roman"/>
                  <w:szCs w:val="24"/>
                </w:rPr>
                <w:t>Бюджетного кодекса</w:t>
              </w:r>
            </w:hyperlink>
            <w:r w:rsidRPr="00713AF2">
              <w:rPr>
                <w:rFonts w:ascii="Times New Roman" w:hAnsi="Times New Roman"/>
                <w:szCs w:val="24"/>
              </w:rPr>
              <w:t> РФ);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 xml:space="preserve">7) направляет в МКУ “Центр </w:t>
            </w:r>
            <w:r w:rsidRPr="00713AF2">
              <w:rPr>
                <w:rFonts w:ascii="Times New Roman" w:hAnsi="Times New Roman"/>
                <w:color w:val="000000"/>
                <w:szCs w:val="24"/>
              </w:rPr>
              <w:t>бухгалтерского учёта” необходимые документы для оплаты поставляемого товара, выполненной работы (её результатов), оказанной услуги, а также отдельных этапов исполнения контракта;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color w:val="000000"/>
                <w:szCs w:val="24"/>
              </w:rPr>
              <w:t>8) заносит информацию о заключенных контрактах в ЕЦИС (единая централизованная информационная система бюджетного (бухгалтерского) учёта и отчётности);</w:t>
            </w:r>
          </w:p>
          <w:p w:rsidR="00713AF2" w:rsidRPr="00713AF2" w:rsidRDefault="00713AF2" w:rsidP="00713AF2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9) осуществляет работу с базой данных в системе УРМ (удаленное рабочее место АС «Бюджет»);</w:t>
            </w:r>
          </w:p>
          <w:p w:rsidR="00713AF2" w:rsidRPr="00713AF2" w:rsidRDefault="00713AF2" w:rsidP="00713AF2">
            <w:pPr>
              <w:spacing w:line="20" w:lineRule="atLeast"/>
              <w:jc w:val="both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t>10) контролирует подписание документов об исполнении контрактов, размещаемых в системе СБИС (система).</w:t>
            </w:r>
          </w:p>
        </w:tc>
        <w:tc>
          <w:tcPr>
            <w:tcW w:w="28" w:type="dxa"/>
            <w:tcBorders>
              <w:top w:val="single" w:sz="6" w:space="0" w:color="000000"/>
            </w:tcBorders>
            <w:hideMark/>
          </w:tcPr>
          <w:p w:rsidR="00713AF2" w:rsidRPr="00713AF2" w:rsidRDefault="00713AF2" w:rsidP="00713AF2">
            <w:pPr>
              <w:spacing w:line="20" w:lineRule="atLeast"/>
              <w:rPr>
                <w:rFonts w:ascii="Times New Roman" w:hAnsi="Times New Roman"/>
                <w:szCs w:val="24"/>
              </w:rPr>
            </w:pPr>
            <w:r w:rsidRPr="00713AF2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</w:tr>
    </w:tbl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55C" w:rsidSect="00713AF2">
      <w:pgSz w:w="11906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91" w:rsidRDefault="00AA5A91">
      <w:r>
        <w:separator/>
      </w:r>
    </w:p>
  </w:endnote>
  <w:endnote w:type="continuationSeparator" w:id="0">
    <w:p w:rsidR="00AA5A91" w:rsidRDefault="00A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91" w:rsidRDefault="00AA5A91">
      <w:r>
        <w:separator/>
      </w:r>
    </w:p>
  </w:footnote>
  <w:footnote w:type="continuationSeparator" w:id="0">
    <w:p w:rsidR="00AA5A91" w:rsidRDefault="00AA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3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7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3"/>
  </w:num>
  <w:num w:numId="4">
    <w:abstractNumId w:val="7"/>
  </w:num>
  <w:num w:numId="5">
    <w:abstractNumId w:val="3"/>
  </w:num>
  <w:num w:numId="6">
    <w:abstractNumId w:val="14"/>
  </w:num>
  <w:num w:numId="7">
    <w:abstractNumId w:val="23"/>
  </w:num>
  <w:num w:numId="8">
    <w:abstractNumId w:val="5"/>
  </w:num>
  <w:num w:numId="9">
    <w:abstractNumId w:val="12"/>
  </w:num>
  <w:num w:numId="10">
    <w:abstractNumId w:val="13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30"/>
  </w:num>
  <w:num w:numId="16">
    <w:abstractNumId w:val="17"/>
  </w:num>
  <w:num w:numId="17">
    <w:abstractNumId w:val="1"/>
  </w:num>
  <w:num w:numId="18">
    <w:abstractNumId w:val="18"/>
  </w:num>
  <w:num w:numId="19">
    <w:abstractNumId w:val="27"/>
  </w:num>
  <w:num w:numId="20">
    <w:abstractNumId w:val="31"/>
  </w:num>
  <w:num w:numId="21">
    <w:abstractNumId w:val="21"/>
  </w:num>
  <w:num w:numId="22">
    <w:abstractNumId w:val="9"/>
  </w:num>
  <w:num w:numId="23">
    <w:abstractNumId w:val="15"/>
  </w:num>
  <w:num w:numId="24">
    <w:abstractNumId w:val="20"/>
  </w:num>
  <w:num w:numId="25">
    <w:abstractNumId w:val="28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22"/>
  </w:num>
  <w:num w:numId="32">
    <w:abstractNumId w:val="11"/>
  </w:num>
  <w:num w:numId="33">
    <w:abstractNumId w:val="26"/>
  </w:num>
  <w:num w:numId="34">
    <w:abstractNumId w:val="8"/>
  </w:num>
  <w:num w:numId="35">
    <w:abstractNumId w:val="29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5C59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155C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42F4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AF2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61F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5A91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8FB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5979</Words>
  <Characters>34085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21</cp:revision>
  <cp:lastPrinted>2025-07-04T10:02:00Z</cp:lastPrinted>
  <dcterms:created xsi:type="dcterms:W3CDTF">2025-06-11T06:25:00Z</dcterms:created>
  <dcterms:modified xsi:type="dcterms:W3CDTF">2025-07-04T10:04:00Z</dcterms:modified>
</cp:coreProperties>
</file>