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777E79B5" w14:textId="77777777" w:rsidR="00F659BA" w:rsidRPr="00F659BA" w:rsidRDefault="00F659BA" w:rsidP="00F659BA">
      <w:pPr>
        <w:spacing w:line="240" w:lineRule="exact"/>
        <w:jc w:val="both"/>
        <w:rPr>
          <w:sz w:val="28"/>
          <w:szCs w:val="28"/>
        </w:rPr>
      </w:pPr>
      <w:bookmarkStart w:id="0" w:name="_Hlk125640611"/>
      <w:r w:rsidRPr="00F659BA">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1" w:name="_Hlk156403988"/>
      <w:r w:rsidRPr="00F659BA">
        <w:rPr>
          <w:sz w:val="28"/>
          <w:szCs w:val="28"/>
        </w:rPr>
        <w:t>от 14.10.2019 № 305 «Об утверждении муниципальной программы</w:t>
      </w:r>
      <w:bookmarkStart w:id="2" w:name="_Hlk125638499"/>
      <w:r w:rsidRPr="00F659BA">
        <w:rPr>
          <w:sz w:val="28"/>
          <w:szCs w:val="28"/>
        </w:rPr>
        <w:t xml:space="preserve"> «Совершенствование муниципального управления в Нюксенском </w:t>
      </w:r>
      <w:bookmarkEnd w:id="2"/>
      <w:r w:rsidRPr="00F659BA">
        <w:rPr>
          <w:sz w:val="28"/>
          <w:szCs w:val="28"/>
        </w:rPr>
        <w:t>округе»</w:t>
      </w:r>
    </w:p>
    <w:bookmarkEnd w:id="1"/>
    <w:p w14:paraId="4A100CCA" w14:textId="77777777" w:rsidR="00F659BA" w:rsidRPr="00F659BA" w:rsidRDefault="00F659BA" w:rsidP="00F659BA">
      <w:pPr>
        <w:spacing w:line="240" w:lineRule="exact"/>
        <w:jc w:val="both"/>
        <w:rPr>
          <w:sz w:val="28"/>
          <w:szCs w:val="28"/>
        </w:rPr>
      </w:pPr>
    </w:p>
    <w:p w14:paraId="64C77AEC" w14:textId="77777777" w:rsidR="00F659BA" w:rsidRPr="00F659BA" w:rsidRDefault="00F659BA" w:rsidP="00F659BA">
      <w:pPr>
        <w:widowControl w:val="0"/>
        <w:tabs>
          <w:tab w:val="left" w:pos="567"/>
        </w:tabs>
        <w:autoSpaceDE w:val="0"/>
        <w:autoSpaceDN w:val="0"/>
        <w:adjustRightInd w:val="0"/>
        <w:jc w:val="both"/>
        <w:rPr>
          <w:rFonts w:eastAsia="Calibri"/>
          <w:sz w:val="26"/>
          <w:szCs w:val="26"/>
          <w:lang w:eastAsia="en-US"/>
        </w:rPr>
      </w:pPr>
      <w:r w:rsidRPr="00F659BA">
        <w:rPr>
          <w:rFonts w:eastAsia="Calibri"/>
          <w:b/>
          <w:bCs/>
          <w:color w:val="000000"/>
          <w:sz w:val="28"/>
          <w:szCs w:val="28"/>
          <w:lang w:eastAsia="en-US"/>
        </w:rPr>
        <w:tab/>
      </w:r>
      <w:r w:rsidRPr="00F659BA">
        <w:rPr>
          <w:rFonts w:eastAsia="Calibri"/>
          <w:sz w:val="26"/>
          <w:szCs w:val="26"/>
          <w:lang w:eastAsia="en-US"/>
        </w:rPr>
        <w:t xml:space="preserve">На основании </w:t>
      </w:r>
      <w:hyperlink r:id="rId8" w:history="1">
        <w:r w:rsidRPr="00F659BA">
          <w:rPr>
            <w:rFonts w:eastAsia="Calibri"/>
            <w:sz w:val="26"/>
            <w:szCs w:val="26"/>
            <w:lang w:eastAsia="en-US"/>
          </w:rPr>
          <w:t>пункта 7 статьи 8</w:t>
        </w:r>
      </w:hyperlink>
      <w:r w:rsidRPr="00F659BA">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F659BA">
        <w:rPr>
          <w:sz w:val="28"/>
          <w:szCs w:val="28"/>
        </w:rPr>
        <w:t xml:space="preserve"> </w:t>
      </w:r>
      <w:r w:rsidRPr="00F659BA">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53C38BE5" w14:textId="77777777" w:rsidR="00F659BA" w:rsidRPr="00F659BA" w:rsidRDefault="00F659BA" w:rsidP="00F659BA">
      <w:pPr>
        <w:widowControl w:val="0"/>
        <w:tabs>
          <w:tab w:val="left" w:pos="567"/>
        </w:tabs>
        <w:autoSpaceDE w:val="0"/>
        <w:autoSpaceDN w:val="0"/>
        <w:adjustRightInd w:val="0"/>
        <w:ind w:firstLine="567"/>
        <w:jc w:val="both"/>
        <w:rPr>
          <w:rFonts w:eastAsia="Calibri"/>
          <w:sz w:val="26"/>
          <w:szCs w:val="26"/>
          <w:lang w:eastAsia="en-US"/>
        </w:rPr>
      </w:pPr>
      <w:r w:rsidRPr="00F659BA">
        <w:rPr>
          <w:rFonts w:eastAsia="Calibri"/>
          <w:sz w:val="26"/>
          <w:szCs w:val="26"/>
          <w:lang w:eastAsia="en-US"/>
        </w:rPr>
        <w:t xml:space="preserve">Контрольно-счетной комиссией проведена финансово-экономическая экспертиза </w:t>
      </w:r>
      <w:bookmarkStart w:id="3" w:name="_Hlk19638358"/>
      <w:r w:rsidRPr="00F659BA">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3"/>
      <w:r w:rsidRPr="00F659BA">
        <w:rPr>
          <w:rFonts w:eastAsia="Calibri"/>
          <w:sz w:val="26"/>
          <w:szCs w:val="26"/>
          <w:lang w:eastAsia="en-US"/>
        </w:rPr>
        <w:t>от 14.10.2019 № 305 «Об утверждении муниципальной программы «Совершенствование муниципального управления в Нюксенском муниципальном округе» (далее – Проект постановления).</w:t>
      </w:r>
    </w:p>
    <w:p w14:paraId="0FDABA11" w14:textId="77777777" w:rsidR="00F659BA" w:rsidRPr="00F659BA" w:rsidRDefault="00F659BA" w:rsidP="00F659BA">
      <w:pPr>
        <w:widowControl w:val="0"/>
        <w:tabs>
          <w:tab w:val="left" w:pos="567"/>
        </w:tabs>
        <w:autoSpaceDE w:val="0"/>
        <w:autoSpaceDN w:val="0"/>
        <w:adjustRightInd w:val="0"/>
        <w:jc w:val="both"/>
        <w:rPr>
          <w:rFonts w:eastAsia="Calibri"/>
          <w:sz w:val="26"/>
          <w:szCs w:val="26"/>
          <w:lang w:eastAsia="en-US"/>
        </w:rPr>
      </w:pPr>
      <w:r w:rsidRPr="00F659BA">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Управлением по обеспечению деятельности администрации округа (далее-Управление по обеспечению деятельности): проект постановления администрации округа; пояснительная записка к Проекту постановления; входящий номер №32 от 23.04.2024 г (письмо исходящий номер №1722 от 23.04.2024г).</w:t>
      </w:r>
    </w:p>
    <w:p w14:paraId="5520EAE7" w14:textId="77777777" w:rsidR="00F659BA" w:rsidRPr="00F659BA" w:rsidRDefault="00F659BA" w:rsidP="00F659BA">
      <w:pPr>
        <w:widowControl w:val="0"/>
        <w:tabs>
          <w:tab w:val="left" w:pos="567"/>
        </w:tabs>
        <w:autoSpaceDE w:val="0"/>
        <w:autoSpaceDN w:val="0"/>
        <w:adjustRightInd w:val="0"/>
        <w:jc w:val="both"/>
        <w:rPr>
          <w:rFonts w:eastAsia="Calibri"/>
          <w:sz w:val="26"/>
          <w:szCs w:val="26"/>
          <w:lang w:eastAsia="en-US"/>
        </w:rPr>
      </w:pPr>
      <w:r w:rsidRPr="00F659BA">
        <w:rPr>
          <w:rFonts w:eastAsia="Calibri"/>
          <w:sz w:val="26"/>
          <w:szCs w:val="26"/>
          <w:lang w:eastAsia="en-US"/>
        </w:rPr>
        <w:t xml:space="preserve">         В результате экспертизы установлено:</w:t>
      </w:r>
    </w:p>
    <w:p w14:paraId="6AE079C1" w14:textId="77777777" w:rsidR="00F659BA" w:rsidRPr="00F659BA" w:rsidRDefault="00F659BA" w:rsidP="00F659BA">
      <w:pPr>
        <w:widowControl w:val="0"/>
        <w:tabs>
          <w:tab w:val="left" w:pos="567"/>
        </w:tabs>
        <w:autoSpaceDE w:val="0"/>
        <w:autoSpaceDN w:val="0"/>
        <w:adjustRightInd w:val="0"/>
        <w:jc w:val="both"/>
        <w:rPr>
          <w:rFonts w:eastAsia="Calibri"/>
          <w:sz w:val="26"/>
          <w:szCs w:val="26"/>
          <w:lang w:eastAsia="en-US"/>
        </w:rPr>
      </w:pPr>
      <w:r w:rsidRPr="00F659BA">
        <w:rPr>
          <w:rFonts w:eastAsia="Calibri"/>
          <w:sz w:val="26"/>
          <w:szCs w:val="26"/>
          <w:lang w:eastAsia="en-US"/>
        </w:rPr>
        <w:t xml:space="preserve">         Изменения в Программу в 2024 году вносятся во-второй раз.</w:t>
      </w:r>
    </w:p>
    <w:p w14:paraId="40ABD926" w14:textId="77777777" w:rsidR="00F659BA" w:rsidRPr="00F659BA" w:rsidRDefault="00F659BA" w:rsidP="00F659BA">
      <w:pPr>
        <w:widowControl w:val="0"/>
        <w:autoSpaceDE w:val="0"/>
        <w:autoSpaceDN w:val="0"/>
        <w:adjustRightInd w:val="0"/>
        <w:ind w:firstLine="540"/>
        <w:jc w:val="both"/>
        <w:rPr>
          <w:rFonts w:eastAsia="Calibri"/>
          <w:sz w:val="26"/>
          <w:szCs w:val="26"/>
          <w:lang w:eastAsia="en-US"/>
        </w:rPr>
      </w:pPr>
      <w:r w:rsidRPr="00F659BA">
        <w:rPr>
          <w:rFonts w:eastAsia="Calibri"/>
          <w:sz w:val="26"/>
          <w:szCs w:val="26"/>
          <w:lang w:eastAsia="en-US"/>
        </w:rPr>
        <w:t xml:space="preserve"> Согласно пояснительной записке к Проекту постановления вносятся изменения: в части ресурсного обеспечения на 2023 год, текущий 2024 год и плановый период 2025-2026 годы. </w:t>
      </w:r>
    </w:p>
    <w:p w14:paraId="1BB66059"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Общий объем финансирования программы за счет средств округа увеличиваются на 2899,2 тыс. рублей и с учетом внесенных изменений</w:t>
      </w:r>
      <w:r w:rsidRPr="00F659BA">
        <w:rPr>
          <w:rFonts w:eastAsia="Calibri"/>
          <w:b/>
          <w:bCs/>
          <w:sz w:val="26"/>
          <w:szCs w:val="26"/>
          <w:lang w:eastAsia="en-US"/>
        </w:rPr>
        <w:t xml:space="preserve"> </w:t>
      </w:r>
      <w:r w:rsidRPr="00F659BA">
        <w:rPr>
          <w:rFonts w:eastAsia="Calibri"/>
          <w:sz w:val="26"/>
          <w:szCs w:val="26"/>
          <w:lang w:eastAsia="en-US"/>
        </w:rPr>
        <w:t>составит 299 568,6 тыс. рублей, в том числе по годам:</w:t>
      </w:r>
    </w:p>
    <w:p w14:paraId="3E9AEC22"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2020 год – 25632,8 тыс. рублей</w:t>
      </w:r>
    </w:p>
    <w:p w14:paraId="586197DC"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 xml:space="preserve">2021 год – 28498,2 тыс. рублей, </w:t>
      </w:r>
    </w:p>
    <w:p w14:paraId="330BC603"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 xml:space="preserve">2022 год – 32251,9 тыс. рублей, </w:t>
      </w:r>
    </w:p>
    <w:p w14:paraId="65B83AED"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 xml:space="preserve">2023 год – 49642,6 тыс. рублей, </w:t>
      </w:r>
    </w:p>
    <w:p w14:paraId="67B98E21"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 xml:space="preserve">2024 год – 56514,6 тыс. рублей, </w:t>
      </w:r>
    </w:p>
    <w:p w14:paraId="548E87BD"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2025 год – 54937,1 тыс. рублей,</w:t>
      </w:r>
    </w:p>
    <w:p w14:paraId="7AFA523F"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2026 год – 54990,6 тыс. рублей,</w:t>
      </w:r>
    </w:p>
    <w:p w14:paraId="70322D00" w14:textId="77777777" w:rsidR="00F659BA" w:rsidRPr="00F659BA" w:rsidRDefault="00F659BA" w:rsidP="00F659BA">
      <w:pPr>
        <w:widowControl w:val="0"/>
        <w:autoSpaceDE w:val="0"/>
        <w:autoSpaceDN w:val="0"/>
        <w:adjustRightInd w:val="0"/>
        <w:ind w:firstLine="540"/>
        <w:jc w:val="both"/>
        <w:rPr>
          <w:rFonts w:eastAsia="Calibri"/>
          <w:sz w:val="26"/>
          <w:szCs w:val="26"/>
          <w:lang w:eastAsia="en-US"/>
        </w:rPr>
      </w:pPr>
      <w:r w:rsidRPr="00F659BA">
        <w:rPr>
          <w:rFonts w:eastAsia="Calibri"/>
          <w:sz w:val="26"/>
          <w:szCs w:val="26"/>
          <w:lang w:eastAsia="en-US"/>
        </w:rPr>
        <w:lastRenderedPageBreak/>
        <w:t xml:space="preserve">Согласно пояснительной записке к Проекту постановления изменения касаются увеличения ресурсного обеспечения на реализацию подпрограммы №3 «Совершенствование процессов предоставления государственных и муниципальных услуг, в том числе на базе многофункционального центра предоставления услуг» на сумму 137,7 </w:t>
      </w:r>
      <w:proofErr w:type="spellStart"/>
      <w:r w:rsidRPr="00F659BA">
        <w:rPr>
          <w:rFonts w:eastAsia="Calibri"/>
          <w:sz w:val="26"/>
          <w:szCs w:val="26"/>
          <w:lang w:eastAsia="en-US"/>
        </w:rPr>
        <w:t>тыс.рублей</w:t>
      </w:r>
      <w:proofErr w:type="spellEnd"/>
      <w:r w:rsidRPr="00F659BA">
        <w:rPr>
          <w:rFonts w:eastAsia="Calibri"/>
          <w:sz w:val="26"/>
          <w:szCs w:val="26"/>
          <w:lang w:eastAsia="en-US"/>
        </w:rPr>
        <w:t xml:space="preserve"> по основному мероприятию «Организация деятельности по оказанию государственных  и муниципальных услуг (выполнению работ) муниципальным учреждением «МФЦ Нюксенского муниципального округа» в связи с расходами услуг связи, охраны помещения и обслуживание охранной сигнализации; на сумму 2760,7 </w:t>
      </w:r>
      <w:proofErr w:type="spellStart"/>
      <w:r w:rsidRPr="00F659BA">
        <w:rPr>
          <w:rFonts w:eastAsia="Calibri"/>
          <w:sz w:val="26"/>
          <w:szCs w:val="26"/>
          <w:lang w:eastAsia="en-US"/>
        </w:rPr>
        <w:t>тыс.рублей</w:t>
      </w:r>
      <w:proofErr w:type="spellEnd"/>
      <w:r w:rsidRPr="00F659BA">
        <w:rPr>
          <w:rFonts w:eastAsia="Calibri"/>
          <w:sz w:val="26"/>
          <w:szCs w:val="26"/>
          <w:lang w:eastAsia="en-US"/>
        </w:rPr>
        <w:t xml:space="preserve"> подпрограммы №4 «Обеспечение реализации муниципальной программы «Совершенствование муниципального управления в Нюксенском муниципальном округе» в связи с увеличением заработной платы на 10 процентов.</w:t>
      </w:r>
    </w:p>
    <w:p w14:paraId="4FF54B6A"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Также Контрольно-счетная комиссия отмечает, что представленные Управлением по обеспечению деятельностью информации документы не содержат информации о том, как увеличение уровня финансирования программы в целом на 65023,0 тыс. рублей в текущем периоде 2023-2026 годы отразятся на показателях оценки эффективности программы, что может свидетельствовать о низкой взаимосвязи объемов финансирования со степенью выполнения мероприятий программы и достижения значений целевых индикаторов.</w:t>
      </w:r>
    </w:p>
    <w:p w14:paraId="105B0970" w14:textId="77777777" w:rsidR="00F659BA" w:rsidRPr="00F659BA" w:rsidRDefault="00F659BA" w:rsidP="00F659BA">
      <w:pPr>
        <w:autoSpaceDE w:val="0"/>
        <w:autoSpaceDN w:val="0"/>
        <w:adjustRightInd w:val="0"/>
        <w:ind w:firstLine="708"/>
        <w:jc w:val="both"/>
        <w:rPr>
          <w:rFonts w:eastAsia="Calibri"/>
          <w:sz w:val="26"/>
          <w:szCs w:val="26"/>
          <w:lang w:eastAsia="en-US"/>
        </w:rPr>
      </w:pPr>
      <w:r w:rsidRPr="00F659BA">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4" w:name="_Hlk125635850"/>
      <w:r w:rsidRPr="00F659BA">
        <w:rPr>
          <w:rFonts w:eastAsia="Calibri"/>
          <w:sz w:val="26"/>
          <w:szCs w:val="26"/>
          <w:lang w:eastAsia="en-US"/>
        </w:rPr>
        <w:t>в информационной-телекоммуникационной сети «Интернет»</w:t>
      </w:r>
      <w:bookmarkEnd w:id="4"/>
      <w:r w:rsidRPr="00F659BA">
        <w:rPr>
          <w:rFonts w:eastAsia="Calibri"/>
          <w:sz w:val="26"/>
          <w:szCs w:val="26"/>
          <w:lang w:eastAsia="en-US"/>
        </w:rPr>
        <w:t>.</w:t>
      </w:r>
    </w:p>
    <w:p w14:paraId="0F85BEB2" w14:textId="77777777" w:rsidR="00F659BA" w:rsidRPr="00F659BA" w:rsidRDefault="00F659BA" w:rsidP="00F659BA">
      <w:pPr>
        <w:widowControl w:val="0"/>
        <w:autoSpaceDE w:val="0"/>
        <w:autoSpaceDN w:val="0"/>
        <w:adjustRightInd w:val="0"/>
        <w:ind w:firstLine="540"/>
        <w:jc w:val="both"/>
        <w:rPr>
          <w:rFonts w:eastAsia="Calibri"/>
          <w:sz w:val="26"/>
          <w:szCs w:val="26"/>
          <w:lang w:eastAsia="en-US"/>
        </w:rPr>
      </w:pPr>
      <w:r w:rsidRPr="00F659BA">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bookmarkEnd w:id="0"/>
    </w:p>
    <w:p w14:paraId="18F15E33" w14:textId="77777777" w:rsidR="00F659BA" w:rsidRPr="00F659BA" w:rsidRDefault="00F659BA" w:rsidP="00F659BA">
      <w:pPr>
        <w:widowControl w:val="0"/>
        <w:autoSpaceDE w:val="0"/>
        <w:autoSpaceDN w:val="0"/>
        <w:adjustRightInd w:val="0"/>
        <w:ind w:firstLine="540"/>
        <w:jc w:val="both"/>
        <w:rPr>
          <w:rFonts w:eastAsia="Calibri"/>
          <w:sz w:val="26"/>
          <w:szCs w:val="26"/>
          <w:lang w:eastAsia="en-US"/>
        </w:rPr>
      </w:pPr>
    </w:p>
    <w:p w14:paraId="33E319DA" w14:textId="77777777" w:rsidR="00471CF9" w:rsidRPr="00471CF9" w:rsidRDefault="00471CF9" w:rsidP="00F659BA">
      <w:pPr>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2024-07-26T12:43:00Z</cp:lastPrinted>
  <dcterms:created xsi:type="dcterms:W3CDTF">2024-07-26T12:39:00Z</dcterms:created>
  <dcterms:modified xsi:type="dcterms:W3CDTF">2024-07-26T13:30:00Z</dcterms:modified>
</cp:coreProperties>
</file>