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54CB1AE9" w14:textId="77777777" w:rsidR="00E10633" w:rsidRDefault="00E10633" w:rsidP="001B736A">
      <w:pPr>
        <w:jc w:val="center"/>
        <w:rPr>
          <w:b/>
          <w:bCs/>
          <w:sz w:val="28"/>
          <w:szCs w:val="28"/>
        </w:rPr>
      </w:pPr>
    </w:p>
    <w:p w14:paraId="3E75EF3C" w14:textId="77777777" w:rsidR="006324FA" w:rsidRPr="006324FA" w:rsidRDefault="006324FA" w:rsidP="006324FA">
      <w:pPr>
        <w:spacing w:line="276" w:lineRule="auto"/>
        <w:ind w:firstLine="567"/>
        <w:jc w:val="center"/>
        <w:rPr>
          <w:b/>
          <w:bCs/>
          <w:sz w:val="24"/>
          <w:szCs w:val="24"/>
        </w:rPr>
      </w:pPr>
    </w:p>
    <w:p w14:paraId="4D679B93" w14:textId="2B230D77" w:rsidR="006324FA" w:rsidRPr="006324FA" w:rsidRDefault="006324FA" w:rsidP="006324FA">
      <w:pPr>
        <w:spacing w:line="240" w:lineRule="exact"/>
        <w:jc w:val="both"/>
        <w:rPr>
          <w:sz w:val="24"/>
          <w:szCs w:val="28"/>
        </w:rPr>
      </w:pPr>
      <w:r>
        <w:rPr>
          <w:sz w:val="24"/>
          <w:szCs w:val="28"/>
        </w:rPr>
        <w:t xml:space="preserve">Заключение </w:t>
      </w:r>
      <w:r w:rsidRPr="006324FA">
        <w:rPr>
          <w:sz w:val="24"/>
          <w:szCs w:val="28"/>
        </w:rPr>
        <w:t>на проект решения Представительного Собрания Нюксенского муниципального округа Вологодской области «О бюджете Нюксенского муниципального округа Вологодской области на 2025 год и плановый период 2026 и 2027 годов»</w:t>
      </w:r>
    </w:p>
    <w:p w14:paraId="1AC83AE2" w14:textId="77777777" w:rsidR="006324FA" w:rsidRPr="006324FA" w:rsidRDefault="006324FA" w:rsidP="006324FA">
      <w:pPr>
        <w:spacing w:line="276" w:lineRule="auto"/>
        <w:ind w:firstLine="567"/>
        <w:jc w:val="center"/>
        <w:rPr>
          <w:b/>
          <w:sz w:val="24"/>
          <w:szCs w:val="24"/>
        </w:rPr>
      </w:pPr>
    </w:p>
    <w:p w14:paraId="0E87B9D6" w14:textId="77777777" w:rsidR="006324FA" w:rsidRPr="006324FA" w:rsidRDefault="006324FA" w:rsidP="006324FA">
      <w:pPr>
        <w:tabs>
          <w:tab w:val="left" w:pos="1513"/>
        </w:tabs>
        <w:spacing w:after="120" w:line="276" w:lineRule="auto"/>
        <w:ind w:right="40"/>
        <w:contextualSpacing/>
        <w:rPr>
          <w:rFonts w:eastAsia="Calibri"/>
          <w:b/>
          <w:bCs/>
          <w:sz w:val="24"/>
          <w:szCs w:val="28"/>
        </w:rPr>
      </w:pPr>
      <w:r w:rsidRPr="006324FA">
        <w:rPr>
          <w:rFonts w:eastAsia="Calibri"/>
          <w:b/>
          <w:bCs/>
          <w:sz w:val="24"/>
          <w:szCs w:val="28"/>
        </w:rPr>
        <w:t>№ 34-э                                                                                                          29 ноября 2024 года</w:t>
      </w:r>
    </w:p>
    <w:p w14:paraId="54E4476C" w14:textId="77777777" w:rsidR="00E10633" w:rsidRPr="00E10633" w:rsidRDefault="00E10633" w:rsidP="00E10633">
      <w:pPr>
        <w:ind w:firstLine="709"/>
        <w:jc w:val="center"/>
        <w:rPr>
          <w:rFonts w:eastAsia="Calibri"/>
          <w:b/>
          <w:bCs/>
          <w:sz w:val="24"/>
          <w:szCs w:val="24"/>
          <w:lang w:eastAsia="en-US"/>
        </w:rPr>
      </w:pPr>
    </w:p>
    <w:p w14:paraId="71DD6D68" w14:textId="77777777" w:rsidR="006324FA" w:rsidRPr="006324FA" w:rsidRDefault="006324FA" w:rsidP="006324FA">
      <w:pPr>
        <w:tabs>
          <w:tab w:val="left" w:pos="567"/>
        </w:tabs>
        <w:ind w:firstLine="567"/>
        <w:contextualSpacing/>
        <w:jc w:val="both"/>
        <w:rPr>
          <w:rFonts w:ascii="Times New Roman CYR" w:eastAsia="Calibri" w:hAnsi="Times New Roman CYR" w:cs="Times New Roman CYR"/>
          <w:sz w:val="24"/>
          <w:szCs w:val="24"/>
          <w:lang w:eastAsia="en-US"/>
        </w:rPr>
      </w:pPr>
    </w:p>
    <w:p w14:paraId="56BB2491" w14:textId="77777777" w:rsidR="006324FA" w:rsidRPr="006324FA" w:rsidRDefault="006324FA" w:rsidP="006324FA">
      <w:pPr>
        <w:tabs>
          <w:tab w:val="left" w:pos="567"/>
        </w:tabs>
        <w:ind w:firstLine="567"/>
        <w:contextualSpacing/>
        <w:jc w:val="both"/>
        <w:rPr>
          <w:rFonts w:ascii="Times New Roman CYR" w:eastAsia="Calibri" w:hAnsi="Times New Roman CYR" w:cs="Times New Roman CYR"/>
          <w:sz w:val="24"/>
          <w:szCs w:val="24"/>
          <w:lang w:eastAsia="en-US"/>
        </w:rPr>
      </w:pPr>
      <w:r w:rsidRPr="006324FA">
        <w:rPr>
          <w:rFonts w:ascii="Times New Roman CYR" w:eastAsia="Calibri" w:hAnsi="Times New Roman CYR" w:cs="Times New Roman CYR"/>
          <w:sz w:val="24"/>
          <w:szCs w:val="24"/>
          <w:lang w:eastAsia="en-US"/>
        </w:rPr>
        <w:t xml:space="preserve"> Вместе с тем, в ходе анализа представленного проекта бюджета округа на 2025 год и плановый период установлены следующие </w:t>
      </w:r>
      <w:r w:rsidRPr="006324FA">
        <w:rPr>
          <w:rFonts w:ascii="Times New Roman CYR" w:eastAsia="Calibri" w:hAnsi="Times New Roman CYR" w:cs="Times New Roman CYR"/>
          <w:b/>
          <w:bCs/>
          <w:sz w:val="24"/>
          <w:szCs w:val="24"/>
          <w:lang w:eastAsia="en-US"/>
        </w:rPr>
        <w:t>недостатки и нарушения:</w:t>
      </w:r>
    </w:p>
    <w:p w14:paraId="6476BD31" w14:textId="77777777" w:rsidR="006324FA" w:rsidRPr="006324FA" w:rsidRDefault="006324FA" w:rsidP="006324FA">
      <w:pPr>
        <w:tabs>
          <w:tab w:val="left" w:pos="567"/>
        </w:tabs>
        <w:ind w:firstLine="567"/>
        <w:contextualSpacing/>
        <w:jc w:val="both"/>
        <w:rPr>
          <w:rFonts w:ascii="Times New Roman CYR" w:eastAsia="Calibri" w:hAnsi="Times New Roman CYR" w:cs="Times New Roman CYR"/>
          <w:sz w:val="24"/>
          <w:szCs w:val="24"/>
          <w:lang w:eastAsia="en-US"/>
        </w:rPr>
      </w:pPr>
      <w:bookmarkStart w:id="0" w:name="_Hlk184127821"/>
      <w:r w:rsidRPr="006324FA">
        <w:rPr>
          <w:rFonts w:ascii="Times New Roman CYR" w:eastAsia="Calibri" w:hAnsi="Times New Roman CYR" w:cs="Times New Roman CYR"/>
          <w:sz w:val="24"/>
          <w:szCs w:val="24"/>
          <w:lang w:eastAsia="en-US"/>
        </w:rPr>
        <w:t>1.</w:t>
      </w:r>
      <w:r w:rsidRPr="006324FA">
        <w:rPr>
          <w:iCs/>
          <w:sz w:val="24"/>
          <w:szCs w:val="24"/>
        </w:rPr>
        <w:t xml:space="preserve"> Нарушены требования статьи 184.2 БК РФ, пункт 4.1.1. раздела 4 Положения о бюджетном процессе (отсутствует приложение №7 к Проекту о бюджете).</w:t>
      </w:r>
    </w:p>
    <w:p w14:paraId="3A44FDEF" w14:textId="77777777" w:rsidR="006324FA" w:rsidRPr="006324FA" w:rsidRDefault="006324FA" w:rsidP="006324FA">
      <w:pPr>
        <w:tabs>
          <w:tab w:val="left" w:pos="567"/>
        </w:tabs>
        <w:autoSpaceDE w:val="0"/>
        <w:autoSpaceDN w:val="0"/>
        <w:adjustRightInd w:val="0"/>
        <w:ind w:firstLine="567"/>
        <w:jc w:val="both"/>
        <w:rPr>
          <w:rFonts w:ascii="Times New Roman CYR" w:eastAsia="Calibri" w:hAnsi="Times New Roman CYR" w:cs="Times New Roman CYR"/>
          <w:sz w:val="24"/>
          <w:szCs w:val="24"/>
          <w:lang w:eastAsia="en-US"/>
        </w:rPr>
      </w:pPr>
      <w:r w:rsidRPr="006324FA">
        <w:rPr>
          <w:rFonts w:ascii="Times New Roman CYR" w:eastAsia="Calibri" w:hAnsi="Times New Roman CYR" w:cs="Times New Roman CYR"/>
          <w:sz w:val="24"/>
          <w:szCs w:val="24"/>
          <w:lang w:eastAsia="en-US"/>
        </w:rPr>
        <w:t xml:space="preserve">2. </w:t>
      </w:r>
      <w:r w:rsidRPr="006324FA">
        <w:rPr>
          <w:sz w:val="24"/>
          <w:szCs w:val="24"/>
        </w:rPr>
        <w:t>Нарушение статьи 184.2 БК РФ. Н</w:t>
      </w:r>
      <w:r w:rsidRPr="006324FA">
        <w:rPr>
          <w:iCs/>
          <w:sz w:val="24"/>
          <w:szCs w:val="24"/>
        </w:rPr>
        <w:t>е представлены паспорта муниципальных программ (</w:t>
      </w:r>
      <w:r w:rsidRPr="006324FA">
        <w:rPr>
          <w:sz w:val="24"/>
          <w:szCs w:val="24"/>
        </w:rPr>
        <w:t xml:space="preserve">РФ): </w:t>
      </w:r>
      <w:r w:rsidRPr="006324FA">
        <w:rPr>
          <w:iCs/>
          <w:sz w:val="24"/>
          <w:szCs w:val="24"/>
        </w:rPr>
        <w:t>Развитие топливно-энергетического комплекса и коммунальной инфраструктуры на территории Нюксенского муниципального округа и Развитие культуры, туризма, молодежной политики, физической культуры и спорта Нюксенского муниципального округа.</w:t>
      </w:r>
    </w:p>
    <w:p w14:paraId="03CE7A57" w14:textId="77777777" w:rsidR="006324FA" w:rsidRPr="006324FA" w:rsidRDefault="006324FA" w:rsidP="006324FA">
      <w:pPr>
        <w:tabs>
          <w:tab w:val="left" w:pos="567"/>
        </w:tabs>
        <w:ind w:firstLine="567"/>
        <w:jc w:val="both"/>
        <w:rPr>
          <w:iCs/>
          <w:sz w:val="24"/>
          <w:szCs w:val="24"/>
        </w:rPr>
      </w:pPr>
      <w:r w:rsidRPr="006324FA">
        <w:rPr>
          <w:rFonts w:ascii="Times New Roman CYR" w:eastAsia="Calibri" w:hAnsi="Times New Roman CYR" w:cs="Times New Roman CYR"/>
          <w:color w:val="000000"/>
          <w:sz w:val="24"/>
          <w:szCs w:val="24"/>
          <w:lang w:eastAsia="en-US"/>
        </w:rPr>
        <w:t xml:space="preserve">3. </w:t>
      </w:r>
      <w:r w:rsidRPr="006324FA">
        <w:rPr>
          <w:iCs/>
          <w:sz w:val="24"/>
          <w:szCs w:val="24"/>
        </w:rPr>
        <w:t xml:space="preserve">В паспортах 10 муниципальных программ объемы ассигнований на их реализацию не соответствуют объемам средств, предусмотренным Проектом бюджета, что не согласуется с требованиями пункта 2 статьи 172 Бюджетного кодекса РФ. </w:t>
      </w:r>
    </w:p>
    <w:p w14:paraId="23381E25" w14:textId="77777777" w:rsidR="006324FA" w:rsidRPr="006324FA" w:rsidRDefault="006324FA" w:rsidP="006324FA">
      <w:pPr>
        <w:tabs>
          <w:tab w:val="left" w:pos="567"/>
        </w:tabs>
        <w:ind w:firstLine="567"/>
        <w:jc w:val="both"/>
        <w:rPr>
          <w:iCs/>
          <w:sz w:val="24"/>
          <w:szCs w:val="24"/>
        </w:rPr>
      </w:pPr>
      <w:r w:rsidRPr="006324FA">
        <w:rPr>
          <w:iCs/>
          <w:sz w:val="24"/>
          <w:szCs w:val="24"/>
        </w:rPr>
        <w:t xml:space="preserve">По двум муниципальным программам объем финансирования соответствует данным паспорта программ и по одной программе нет данных по финансовому обеспечению, в связи с отсутствием паспорта (проекта) программы. </w:t>
      </w:r>
    </w:p>
    <w:p w14:paraId="3AE9304F" w14:textId="77777777" w:rsidR="006324FA" w:rsidRPr="006324FA" w:rsidRDefault="006324FA" w:rsidP="006324FA">
      <w:pPr>
        <w:tabs>
          <w:tab w:val="left" w:pos="567"/>
        </w:tabs>
        <w:ind w:firstLine="567"/>
        <w:jc w:val="both"/>
        <w:rPr>
          <w:iCs/>
          <w:sz w:val="24"/>
          <w:szCs w:val="24"/>
        </w:rPr>
      </w:pPr>
      <w:r w:rsidRPr="006324FA">
        <w:rPr>
          <w:rFonts w:ascii="Times New Roman CYR" w:eastAsia="Calibri" w:hAnsi="Times New Roman CYR" w:cs="Times New Roman CYR"/>
          <w:sz w:val="24"/>
          <w:szCs w:val="24"/>
          <w:lang w:eastAsia="en-US"/>
        </w:rPr>
        <w:t xml:space="preserve">4. </w:t>
      </w:r>
      <w:r w:rsidRPr="006324FA">
        <w:rPr>
          <w:iCs/>
          <w:sz w:val="24"/>
          <w:szCs w:val="24"/>
        </w:rPr>
        <w:t xml:space="preserve">В представленном в составе материалов к Проекту решения о бюджете в проекте паспорта муниципальной программы «Экономическое развитие Нюксенского муниципального округа» установленные на среднесрочный период значения показателя «Объём инвестиций в основной капитал на душу населения» (2025 год – 39,0 </w:t>
      </w:r>
      <w:proofErr w:type="spellStart"/>
      <w:r w:rsidRPr="006324FA">
        <w:rPr>
          <w:iCs/>
          <w:sz w:val="24"/>
          <w:szCs w:val="24"/>
        </w:rPr>
        <w:t>тыс</w:t>
      </w:r>
      <w:proofErr w:type="spellEnd"/>
      <w:r w:rsidRPr="006324FA">
        <w:rPr>
          <w:iCs/>
          <w:sz w:val="24"/>
          <w:szCs w:val="24"/>
        </w:rPr>
        <w:t xml:space="preserve">, рублей, 2026 год – 40,0 </w:t>
      </w:r>
      <w:proofErr w:type="spellStart"/>
      <w:r w:rsidRPr="006324FA">
        <w:rPr>
          <w:iCs/>
          <w:sz w:val="24"/>
          <w:szCs w:val="24"/>
        </w:rPr>
        <w:t>тыс,рублей</w:t>
      </w:r>
      <w:proofErr w:type="spellEnd"/>
      <w:r w:rsidRPr="006324FA">
        <w:rPr>
          <w:iCs/>
          <w:sz w:val="24"/>
          <w:szCs w:val="24"/>
        </w:rPr>
        <w:t xml:space="preserve">, 2027 год – 42,0 </w:t>
      </w:r>
      <w:proofErr w:type="spellStart"/>
      <w:r w:rsidRPr="006324FA">
        <w:rPr>
          <w:iCs/>
          <w:sz w:val="24"/>
          <w:szCs w:val="24"/>
        </w:rPr>
        <w:t>тыс</w:t>
      </w:r>
      <w:proofErr w:type="spellEnd"/>
      <w:r w:rsidRPr="006324FA">
        <w:rPr>
          <w:iCs/>
          <w:sz w:val="24"/>
          <w:szCs w:val="24"/>
        </w:rPr>
        <w:t xml:space="preserve">, рублей) не соответствуют значениям того же показателя прогноза социально-экономического развития Нюксенского муниципального округа на среднесрочный период 2025 - 2027 годов (2025 год – 39,4 </w:t>
      </w:r>
      <w:proofErr w:type="spellStart"/>
      <w:r w:rsidRPr="006324FA">
        <w:rPr>
          <w:iCs/>
          <w:sz w:val="24"/>
          <w:szCs w:val="24"/>
        </w:rPr>
        <w:t>тыс</w:t>
      </w:r>
      <w:proofErr w:type="spellEnd"/>
      <w:r w:rsidRPr="006324FA">
        <w:rPr>
          <w:iCs/>
          <w:sz w:val="24"/>
          <w:szCs w:val="24"/>
        </w:rPr>
        <w:t xml:space="preserve">, рублей, 2026 год – 39,8 </w:t>
      </w:r>
      <w:proofErr w:type="spellStart"/>
      <w:r w:rsidRPr="006324FA">
        <w:rPr>
          <w:iCs/>
          <w:sz w:val="24"/>
          <w:szCs w:val="24"/>
        </w:rPr>
        <w:t>тыс,рублей</w:t>
      </w:r>
      <w:proofErr w:type="spellEnd"/>
      <w:r w:rsidRPr="006324FA">
        <w:rPr>
          <w:iCs/>
          <w:sz w:val="24"/>
          <w:szCs w:val="24"/>
        </w:rPr>
        <w:t xml:space="preserve">, 2027 год – 40,2 </w:t>
      </w:r>
      <w:proofErr w:type="spellStart"/>
      <w:r w:rsidRPr="006324FA">
        <w:rPr>
          <w:iCs/>
          <w:sz w:val="24"/>
          <w:szCs w:val="24"/>
        </w:rPr>
        <w:t>тыс</w:t>
      </w:r>
      <w:proofErr w:type="spellEnd"/>
      <w:r w:rsidRPr="006324FA">
        <w:rPr>
          <w:iCs/>
          <w:sz w:val="24"/>
          <w:szCs w:val="24"/>
        </w:rPr>
        <w:t>, рублей).</w:t>
      </w:r>
    </w:p>
    <w:p w14:paraId="1EEF0963" w14:textId="77777777" w:rsidR="006324FA" w:rsidRPr="006324FA" w:rsidRDefault="006324FA" w:rsidP="006324FA">
      <w:pPr>
        <w:tabs>
          <w:tab w:val="left" w:pos="567"/>
        </w:tabs>
        <w:ind w:firstLine="567"/>
        <w:jc w:val="both"/>
        <w:rPr>
          <w:iCs/>
          <w:sz w:val="24"/>
          <w:szCs w:val="24"/>
        </w:rPr>
      </w:pPr>
      <w:r w:rsidRPr="006324FA">
        <w:rPr>
          <w:iCs/>
          <w:sz w:val="24"/>
          <w:szCs w:val="24"/>
        </w:rPr>
        <w:t>5.</w:t>
      </w:r>
      <w:r w:rsidRPr="006324FA">
        <w:rPr>
          <w:sz w:val="24"/>
          <w:szCs w:val="24"/>
        </w:rPr>
        <w:t>Проектом решения предусмотрены субсидии на организацию уличного освещения на 2025 - 2027 годы в сумме по 7889,3 тыс. рублей ежегодно. Согласно прогнозу социально-экономического развития Российской Федерации на 2025 год и плановый период 2026 и 2027 годов, утвержденному Минэкономразвития РФ, рост цен на электрическую энергию для всех категорий потребителей в 2025 году оценивается на уровне 12,6%, в 2026 году - на уровне 5,2%. Предусмотренное Проектом решения финансирование меньше затрат текущего года (14705,3 тыс. рублей) и не учитывает плановые показатели прогноза социально-экономического развития РФ.</w:t>
      </w:r>
    </w:p>
    <w:bookmarkEnd w:id="0"/>
    <w:p w14:paraId="5347E7C4" w14:textId="77777777" w:rsidR="006324FA" w:rsidRPr="006324FA" w:rsidRDefault="006324FA" w:rsidP="006324FA">
      <w:pPr>
        <w:tabs>
          <w:tab w:val="left" w:pos="567"/>
        </w:tabs>
        <w:autoSpaceDE w:val="0"/>
        <w:autoSpaceDN w:val="0"/>
        <w:adjustRightInd w:val="0"/>
        <w:ind w:firstLine="567"/>
        <w:jc w:val="both"/>
        <w:rPr>
          <w:rFonts w:ascii="Times New Roman CYR" w:eastAsia="Calibri" w:hAnsi="Times New Roman CYR" w:cs="Times New Roman CYR"/>
          <w:sz w:val="24"/>
          <w:szCs w:val="24"/>
          <w:lang w:eastAsia="en-US"/>
        </w:rPr>
      </w:pPr>
      <w:r w:rsidRPr="006324FA">
        <w:rPr>
          <w:rFonts w:eastAsia="Calibri"/>
          <w:color w:val="000000"/>
          <w:sz w:val="24"/>
          <w:szCs w:val="24"/>
          <w:lang w:eastAsia="en-US"/>
        </w:rPr>
        <w:t xml:space="preserve"> </w:t>
      </w:r>
      <w:r w:rsidRPr="006324FA">
        <w:rPr>
          <w:rFonts w:ascii="Times New Roman CYR" w:eastAsia="Calibri" w:hAnsi="Times New Roman CYR" w:cs="Times New Roman CYR"/>
          <w:color w:val="000000"/>
          <w:sz w:val="24"/>
          <w:szCs w:val="24"/>
          <w:lang w:eastAsia="en-US"/>
        </w:rPr>
        <w:t xml:space="preserve">Согласно </w:t>
      </w:r>
      <w:r w:rsidRPr="006324FA">
        <w:rPr>
          <w:rFonts w:ascii="Times New Roman CYR" w:eastAsia="Calibri" w:hAnsi="Times New Roman CYR" w:cs="Times New Roman CYR"/>
          <w:sz w:val="24"/>
          <w:szCs w:val="24"/>
          <w:lang w:eastAsia="en-US"/>
        </w:rPr>
        <w:t>классификатору нарушений, одобренных Коллегий Счетной палаты Российской Федерации 22.12.2021 информация по выявленным нарушениям отражена в таблице № 19.</w:t>
      </w:r>
    </w:p>
    <w:p w14:paraId="08932B04" w14:textId="77777777" w:rsidR="006324FA" w:rsidRPr="006324FA" w:rsidRDefault="006324FA" w:rsidP="006324FA">
      <w:pPr>
        <w:autoSpaceDE w:val="0"/>
        <w:autoSpaceDN w:val="0"/>
        <w:adjustRightInd w:val="0"/>
        <w:ind w:firstLine="567"/>
        <w:jc w:val="both"/>
        <w:rPr>
          <w:rFonts w:ascii="Times New Roman CYR" w:eastAsia="Calibri" w:hAnsi="Times New Roman CYR" w:cs="Times New Roman CYR"/>
          <w:sz w:val="24"/>
          <w:szCs w:val="24"/>
          <w:lang w:eastAsia="en-US"/>
        </w:rPr>
      </w:pPr>
      <w:r w:rsidRPr="006324FA">
        <w:rPr>
          <w:rFonts w:ascii="Times New Roman CYR" w:eastAsia="Calibri" w:hAnsi="Times New Roman CYR" w:cs="Times New Roman CYR"/>
          <w:sz w:val="24"/>
          <w:szCs w:val="24"/>
          <w:lang w:eastAsia="en-US"/>
        </w:rPr>
        <w:t>Таблица №19</w:t>
      </w:r>
    </w:p>
    <w:tbl>
      <w:tblPr>
        <w:tblW w:w="9339" w:type="dxa"/>
        <w:tblInd w:w="5" w:type="dxa"/>
        <w:tblLayout w:type="fixed"/>
        <w:tblCellMar>
          <w:left w:w="0" w:type="dxa"/>
          <w:right w:w="0" w:type="dxa"/>
        </w:tblCellMar>
        <w:tblLook w:val="0000" w:firstRow="0" w:lastRow="0" w:firstColumn="0" w:lastColumn="0" w:noHBand="0" w:noVBand="0"/>
      </w:tblPr>
      <w:tblGrid>
        <w:gridCol w:w="735"/>
        <w:gridCol w:w="3291"/>
        <w:gridCol w:w="2587"/>
        <w:gridCol w:w="1655"/>
        <w:gridCol w:w="1071"/>
      </w:tblGrid>
      <w:tr w:rsidR="006324FA" w:rsidRPr="006324FA" w14:paraId="03535950" w14:textId="77777777" w:rsidTr="00A12E78">
        <w:tc>
          <w:tcPr>
            <w:tcW w:w="735" w:type="dxa"/>
            <w:tcBorders>
              <w:top w:val="single" w:sz="4" w:space="0" w:color="000000"/>
              <w:left w:val="single" w:sz="4" w:space="0" w:color="000000"/>
              <w:bottom w:val="single" w:sz="4" w:space="0" w:color="000000"/>
              <w:right w:val="single" w:sz="2" w:space="0" w:color="000000"/>
            </w:tcBorders>
            <w:shd w:val="clear" w:color="000000" w:fill="FFFFFF"/>
          </w:tcPr>
          <w:p w14:paraId="10E5DFA5" w14:textId="77777777" w:rsidR="006324FA" w:rsidRPr="006324FA" w:rsidRDefault="006324FA" w:rsidP="006324FA">
            <w:pPr>
              <w:autoSpaceDE w:val="0"/>
              <w:autoSpaceDN w:val="0"/>
              <w:adjustRightInd w:val="0"/>
              <w:jc w:val="center"/>
              <w:rPr>
                <w:rFonts w:ascii="Calibri" w:eastAsia="Calibri" w:hAnsi="Calibri" w:cs="Calibri"/>
                <w:sz w:val="22"/>
                <w:szCs w:val="22"/>
                <w:lang w:val="en-US" w:eastAsia="en-US"/>
              </w:rPr>
            </w:pPr>
            <w:r w:rsidRPr="006324FA">
              <w:rPr>
                <w:rFonts w:eastAsia="Calibri"/>
                <w:b/>
                <w:bCs/>
                <w:i/>
                <w:iCs/>
                <w:lang w:val="en-US" w:eastAsia="en-US"/>
              </w:rPr>
              <w:t xml:space="preserve">№ </w:t>
            </w:r>
            <w:r w:rsidRPr="006324FA">
              <w:rPr>
                <w:rFonts w:ascii="Times New Roman CYR" w:eastAsia="Calibri" w:hAnsi="Times New Roman CYR" w:cs="Times New Roman CYR"/>
                <w:b/>
                <w:bCs/>
                <w:i/>
                <w:iCs/>
                <w:lang w:eastAsia="en-US"/>
              </w:rPr>
              <w:t>п/п</w:t>
            </w:r>
          </w:p>
        </w:tc>
        <w:tc>
          <w:tcPr>
            <w:tcW w:w="3291" w:type="dxa"/>
            <w:tcBorders>
              <w:top w:val="single" w:sz="4" w:space="0" w:color="000000"/>
              <w:left w:val="single" w:sz="4" w:space="0" w:color="000000"/>
              <w:bottom w:val="single" w:sz="4" w:space="0" w:color="000000"/>
              <w:right w:val="single" w:sz="2" w:space="0" w:color="000000"/>
            </w:tcBorders>
            <w:shd w:val="clear" w:color="000000" w:fill="FFFFFF"/>
          </w:tcPr>
          <w:p w14:paraId="5DC17057" w14:textId="77777777" w:rsidR="006324FA" w:rsidRPr="006324FA" w:rsidRDefault="006324FA" w:rsidP="006324FA">
            <w:pPr>
              <w:autoSpaceDE w:val="0"/>
              <w:autoSpaceDN w:val="0"/>
              <w:adjustRightInd w:val="0"/>
              <w:ind w:left="80"/>
              <w:jc w:val="center"/>
              <w:rPr>
                <w:rFonts w:ascii="Calibri" w:eastAsia="Calibri" w:hAnsi="Calibri" w:cs="Calibri"/>
                <w:sz w:val="22"/>
                <w:szCs w:val="22"/>
                <w:lang w:val="en-US" w:eastAsia="en-US"/>
              </w:rPr>
            </w:pPr>
            <w:r w:rsidRPr="006324FA">
              <w:rPr>
                <w:rFonts w:ascii="Times New Roman CYR" w:eastAsia="Calibri" w:hAnsi="Times New Roman CYR" w:cs="Times New Roman CYR"/>
                <w:b/>
                <w:bCs/>
                <w:i/>
                <w:iCs/>
                <w:lang w:eastAsia="en-US"/>
              </w:rPr>
              <w:t>Вид нарушения/нарушение</w:t>
            </w:r>
          </w:p>
        </w:tc>
        <w:tc>
          <w:tcPr>
            <w:tcW w:w="2587" w:type="dxa"/>
            <w:tcBorders>
              <w:top w:val="single" w:sz="4" w:space="0" w:color="000000"/>
              <w:left w:val="single" w:sz="4" w:space="0" w:color="000000"/>
              <w:bottom w:val="single" w:sz="4" w:space="0" w:color="000000"/>
              <w:right w:val="single" w:sz="2" w:space="0" w:color="000000"/>
            </w:tcBorders>
            <w:shd w:val="clear" w:color="000000" w:fill="FFFFFF"/>
          </w:tcPr>
          <w:p w14:paraId="60FFAAAC" w14:textId="77777777" w:rsidR="006324FA" w:rsidRPr="006324FA" w:rsidRDefault="006324FA" w:rsidP="006324FA">
            <w:pPr>
              <w:autoSpaceDE w:val="0"/>
              <w:autoSpaceDN w:val="0"/>
              <w:adjustRightInd w:val="0"/>
              <w:jc w:val="center"/>
              <w:rPr>
                <w:rFonts w:ascii="Calibri" w:eastAsia="Calibri" w:hAnsi="Calibri" w:cs="Calibri"/>
                <w:sz w:val="22"/>
                <w:szCs w:val="22"/>
                <w:lang w:val="en-US" w:eastAsia="en-US"/>
              </w:rPr>
            </w:pPr>
            <w:r w:rsidRPr="006324FA">
              <w:rPr>
                <w:rFonts w:ascii="Times New Roman CYR" w:eastAsia="Calibri" w:hAnsi="Times New Roman CYR" w:cs="Times New Roman CYR"/>
                <w:b/>
                <w:bCs/>
                <w:i/>
                <w:iCs/>
                <w:lang w:eastAsia="en-US"/>
              </w:rPr>
              <w:t xml:space="preserve">Правовые основания квалификации нарушения </w:t>
            </w:r>
          </w:p>
        </w:tc>
        <w:tc>
          <w:tcPr>
            <w:tcW w:w="1655" w:type="dxa"/>
            <w:tcBorders>
              <w:top w:val="single" w:sz="4" w:space="0" w:color="000000"/>
              <w:left w:val="single" w:sz="4" w:space="0" w:color="000000"/>
              <w:bottom w:val="single" w:sz="4" w:space="0" w:color="000000"/>
              <w:right w:val="single" w:sz="2" w:space="0" w:color="000000"/>
            </w:tcBorders>
            <w:shd w:val="clear" w:color="000000" w:fill="FFFFFF"/>
          </w:tcPr>
          <w:p w14:paraId="4B4365FF" w14:textId="77777777" w:rsidR="006324FA" w:rsidRPr="006324FA" w:rsidRDefault="006324FA" w:rsidP="006324FA">
            <w:pPr>
              <w:autoSpaceDE w:val="0"/>
              <w:autoSpaceDN w:val="0"/>
              <w:adjustRightInd w:val="0"/>
              <w:jc w:val="center"/>
              <w:rPr>
                <w:rFonts w:ascii="Times New Roman CYR" w:eastAsia="Calibri" w:hAnsi="Times New Roman CYR" w:cs="Times New Roman CYR"/>
                <w:b/>
                <w:bCs/>
                <w:i/>
                <w:iCs/>
                <w:lang w:eastAsia="en-US"/>
              </w:rPr>
            </w:pPr>
            <w:r w:rsidRPr="006324FA">
              <w:rPr>
                <w:rFonts w:ascii="Times New Roman CYR" w:eastAsia="Calibri" w:hAnsi="Times New Roman CYR" w:cs="Times New Roman CYR"/>
                <w:b/>
                <w:bCs/>
                <w:i/>
                <w:iCs/>
                <w:lang w:eastAsia="en-US"/>
              </w:rPr>
              <w:t xml:space="preserve">Единица </w:t>
            </w:r>
          </w:p>
          <w:p w14:paraId="73ACB57C" w14:textId="77777777" w:rsidR="006324FA" w:rsidRPr="006324FA" w:rsidRDefault="006324FA" w:rsidP="006324FA">
            <w:pPr>
              <w:autoSpaceDE w:val="0"/>
              <w:autoSpaceDN w:val="0"/>
              <w:adjustRightInd w:val="0"/>
              <w:jc w:val="center"/>
              <w:rPr>
                <w:rFonts w:ascii="Calibri" w:eastAsia="Calibri" w:hAnsi="Calibri" w:cs="Calibri"/>
                <w:sz w:val="22"/>
                <w:szCs w:val="22"/>
                <w:lang w:val="en-US" w:eastAsia="en-US"/>
              </w:rPr>
            </w:pPr>
            <w:r w:rsidRPr="006324FA">
              <w:rPr>
                <w:rFonts w:ascii="Times New Roman CYR" w:eastAsia="Calibri" w:hAnsi="Times New Roman CYR" w:cs="Times New Roman CYR"/>
                <w:b/>
                <w:bCs/>
                <w:i/>
                <w:iCs/>
                <w:lang w:eastAsia="en-US"/>
              </w:rPr>
              <w:t>измерения</w:t>
            </w:r>
          </w:p>
        </w:tc>
        <w:tc>
          <w:tcPr>
            <w:tcW w:w="1068" w:type="dxa"/>
            <w:tcBorders>
              <w:top w:val="single" w:sz="4" w:space="0" w:color="000000"/>
              <w:left w:val="single" w:sz="4" w:space="0" w:color="000000"/>
              <w:bottom w:val="single" w:sz="4" w:space="0" w:color="000000"/>
              <w:right w:val="single" w:sz="2" w:space="0" w:color="000000"/>
            </w:tcBorders>
            <w:shd w:val="clear" w:color="000000" w:fill="FFFFFF"/>
          </w:tcPr>
          <w:p w14:paraId="43BB4BAF" w14:textId="77777777" w:rsidR="006324FA" w:rsidRPr="006324FA" w:rsidRDefault="006324FA" w:rsidP="006324FA">
            <w:pPr>
              <w:autoSpaceDE w:val="0"/>
              <w:autoSpaceDN w:val="0"/>
              <w:adjustRightInd w:val="0"/>
              <w:rPr>
                <w:rFonts w:ascii="Calibri" w:eastAsia="Calibri" w:hAnsi="Calibri" w:cs="Calibri"/>
                <w:sz w:val="22"/>
                <w:szCs w:val="22"/>
                <w:lang w:val="en-US" w:eastAsia="en-US"/>
              </w:rPr>
            </w:pPr>
            <w:r w:rsidRPr="006324FA">
              <w:rPr>
                <w:rFonts w:ascii="Times New Roman CYR" w:eastAsia="Calibri" w:hAnsi="Times New Roman CYR" w:cs="Times New Roman CYR"/>
                <w:b/>
                <w:bCs/>
                <w:i/>
                <w:iCs/>
                <w:lang w:eastAsia="en-US"/>
              </w:rPr>
              <w:t xml:space="preserve">Группа нарушения </w:t>
            </w:r>
          </w:p>
        </w:tc>
      </w:tr>
      <w:tr w:rsidR="006324FA" w:rsidRPr="006324FA" w14:paraId="267C920C" w14:textId="77777777" w:rsidTr="00A12E78">
        <w:tc>
          <w:tcPr>
            <w:tcW w:w="9339" w:type="dxa"/>
            <w:gridSpan w:val="5"/>
            <w:tcBorders>
              <w:top w:val="single" w:sz="4" w:space="0" w:color="000000"/>
              <w:left w:val="single" w:sz="4" w:space="0" w:color="000000"/>
              <w:bottom w:val="single" w:sz="4" w:space="0" w:color="000000"/>
              <w:right w:val="single" w:sz="2" w:space="0" w:color="000000"/>
            </w:tcBorders>
            <w:shd w:val="clear" w:color="000000" w:fill="FFFFFF"/>
          </w:tcPr>
          <w:p w14:paraId="2F95F248" w14:textId="77777777" w:rsidR="006324FA" w:rsidRPr="006324FA" w:rsidRDefault="006324FA" w:rsidP="006324FA">
            <w:pPr>
              <w:autoSpaceDE w:val="0"/>
              <w:autoSpaceDN w:val="0"/>
              <w:adjustRightInd w:val="0"/>
              <w:jc w:val="center"/>
              <w:rPr>
                <w:rFonts w:ascii="Calibri" w:eastAsia="Calibri" w:hAnsi="Calibri" w:cs="Calibri"/>
                <w:sz w:val="22"/>
                <w:szCs w:val="22"/>
                <w:lang w:eastAsia="en-US"/>
              </w:rPr>
            </w:pPr>
            <w:r w:rsidRPr="006324FA">
              <w:rPr>
                <w:rFonts w:eastAsia="Calibri"/>
                <w:b/>
                <w:bCs/>
                <w:lang w:eastAsia="en-US"/>
              </w:rPr>
              <w:t xml:space="preserve">1. </w:t>
            </w:r>
            <w:r w:rsidRPr="006324FA">
              <w:rPr>
                <w:rFonts w:ascii="Times New Roman CYR" w:eastAsia="Calibri" w:hAnsi="Times New Roman CYR" w:cs="Times New Roman CYR"/>
                <w:b/>
                <w:bCs/>
                <w:lang w:eastAsia="en-US"/>
              </w:rPr>
              <w:t>Нарушения при формировании и исполнении бюджетов</w:t>
            </w:r>
          </w:p>
        </w:tc>
      </w:tr>
      <w:tr w:rsidR="006324FA" w:rsidRPr="006324FA" w14:paraId="35031B7C" w14:textId="77777777" w:rsidTr="00A12E78">
        <w:tblPrEx>
          <w:tblCellMar>
            <w:left w:w="108" w:type="dxa"/>
            <w:right w:w="108" w:type="dxa"/>
          </w:tblCellMar>
        </w:tblPrEx>
        <w:tc>
          <w:tcPr>
            <w:tcW w:w="9339" w:type="dxa"/>
            <w:gridSpan w:val="5"/>
            <w:tcBorders>
              <w:top w:val="single" w:sz="4" w:space="0" w:color="000000"/>
              <w:left w:val="single" w:sz="4" w:space="0" w:color="000000"/>
              <w:bottom w:val="single" w:sz="4" w:space="0" w:color="000000"/>
              <w:right w:val="single" w:sz="2" w:space="0" w:color="000000"/>
            </w:tcBorders>
            <w:shd w:val="clear" w:color="000000" w:fill="FFFFFF"/>
          </w:tcPr>
          <w:p w14:paraId="13FB9155" w14:textId="77777777" w:rsidR="006324FA" w:rsidRPr="006324FA" w:rsidRDefault="006324FA" w:rsidP="006324FA">
            <w:pPr>
              <w:autoSpaceDE w:val="0"/>
              <w:autoSpaceDN w:val="0"/>
              <w:adjustRightInd w:val="0"/>
              <w:ind w:left="-344"/>
              <w:jc w:val="center"/>
              <w:rPr>
                <w:rFonts w:ascii="Calibri" w:eastAsia="Calibri" w:hAnsi="Calibri" w:cs="Calibri"/>
                <w:sz w:val="22"/>
                <w:szCs w:val="22"/>
                <w:lang w:eastAsia="en-US"/>
              </w:rPr>
            </w:pPr>
            <w:r w:rsidRPr="006324FA">
              <w:rPr>
                <w:rFonts w:eastAsia="Calibri"/>
                <w:b/>
                <w:bCs/>
                <w:color w:val="000000"/>
                <w:lang w:eastAsia="en-US"/>
              </w:rPr>
              <w:t xml:space="preserve">1.1 </w:t>
            </w:r>
            <w:r w:rsidRPr="006324FA">
              <w:rPr>
                <w:rFonts w:ascii="Times New Roman CYR" w:eastAsia="Calibri" w:hAnsi="Times New Roman CYR" w:cs="Times New Roman CYR"/>
                <w:b/>
                <w:bCs/>
                <w:color w:val="000000"/>
                <w:lang w:eastAsia="en-US"/>
              </w:rPr>
              <w:t>Нарушения в ходе формирования бюджетов</w:t>
            </w:r>
          </w:p>
        </w:tc>
      </w:tr>
      <w:tr w:rsidR="006324FA" w:rsidRPr="006324FA" w14:paraId="71C59B92" w14:textId="77777777" w:rsidTr="00A12E78">
        <w:tc>
          <w:tcPr>
            <w:tcW w:w="735" w:type="dxa"/>
            <w:tcBorders>
              <w:top w:val="single" w:sz="4" w:space="0" w:color="000000"/>
              <w:left w:val="single" w:sz="4" w:space="0" w:color="000000"/>
              <w:bottom w:val="single" w:sz="4" w:space="0" w:color="000000"/>
              <w:right w:val="single" w:sz="2" w:space="0" w:color="000000"/>
            </w:tcBorders>
            <w:shd w:val="clear" w:color="000000" w:fill="FFFFFF"/>
          </w:tcPr>
          <w:p w14:paraId="534220F6" w14:textId="77777777" w:rsidR="006324FA" w:rsidRPr="006324FA" w:rsidRDefault="006324FA" w:rsidP="006324FA">
            <w:pPr>
              <w:autoSpaceDE w:val="0"/>
              <w:autoSpaceDN w:val="0"/>
              <w:adjustRightInd w:val="0"/>
              <w:jc w:val="both"/>
              <w:rPr>
                <w:rFonts w:eastAsia="Calibri"/>
                <w:sz w:val="18"/>
                <w:szCs w:val="18"/>
                <w:lang w:eastAsia="en-US"/>
              </w:rPr>
            </w:pPr>
            <w:r w:rsidRPr="006324FA">
              <w:rPr>
                <w:rFonts w:eastAsia="Calibri"/>
                <w:sz w:val="18"/>
                <w:szCs w:val="18"/>
                <w:lang w:eastAsia="en-US"/>
              </w:rPr>
              <w:t>1.1.1</w:t>
            </w:r>
          </w:p>
        </w:tc>
        <w:tc>
          <w:tcPr>
            <w:tcW w:w="3291" w:type="dxa"/>
            <w:tcBorders>
              <w:top w:val="single" w:sz="4" w:space="0" w:color="000000"/>
              <w:left w:val="single" w:sz="4" w:space="0" w:color="000000"/>
              <w:bottom w:val="single" w:sz="4" w:space="0" w:color="000000"/>
              <w:right w:val="single" w:sz="2" w:space="0" w:color="000000"/>
            </w:tcBorders>
            <w:shd w:val="clear" w:color="000000" w:fill="FFFFFF"/>
          </w:tcPr>
          <w:p w14:paraId="2AF7710F" w14:textId="77777777" w:rsidR="006324FA" w:rsidRPr="006324FA" w:rsidRDefault="006324FA" w:rsidP="006324FA">
            <w:pPr>
              <w:autoSpaceDE w:val="0"/>
              <w:autoSpaceDN w:val="0"/>
              <w:adjustRightInd w:val="0"/>
              <w:jc w:val="center"/>
              <w:rPr>
                <w:rFonts w:eastAsia="Calibri"/>
                <w:sz w:val="16"/>
                <w:szCs w:val="16"/>
                <w:lang w:eastAsia="en-US"/>
              </w:rPr>
            </w:pPr>
            <w:r w:rsidRPr="006324FA">
              <w:rPr>
                <w:rFonts w:eastAsia="Calibri"/>
                <w:sz w:val="16"/>
                <w:szCs w:val="16"/>
                <w:lang w:eastAsia="en-US"/>
              </w:rPr>
              <w:t>Нарушение порядка и сроков составления и (или) представления проектов бюджетов бюджетной системы Российской Федерации</w:t>
            </w:r>
          </w:p>
        </w:tc>
        <w:tc>
          <w:tcPr>
            <w:tcW w:w="2587" w:type="dxa"/>
            <w:tcBorders>
              <w:top w:val="single" w:sz="4" w:space="0" w:color="000000"/>
              <w:left w:val="single" w:sz="4" w:space="0" w:color="000000"/>
              <w:bottom w:val="single" w:sz="4" w:space="0" w:color="000000"/>
              <w:right w:val="single" w:sz="2" w:space="0" w:color="000000"/>
            </w:tcBorders>
            <w:shd w:val="clear" w:color="000000" w:fill="FFFFFF"/>
          </w:tcPr>
          <w:p w14:paraId="71B9114E" w14:textId="77777777" w:rsidR="006324FA" w:rsidRPr="006324FA" w:rsidRDefault="006324FA" w:rsidP="006324FA">
            <w:pPr>
              <w:autoSpaceDE w:val="0"/>
              <w:autoSpaceDN w:val="0"/>
              <w:adjustRightInd w:val="0"/>
              <w:jc w:val="center"/>
              <w:rPr>
                <w:rFonts w:eastAsia="Calibri"/>
                <w:sz w:val="16"/>
                <w:szCs w:val="16"/>
                <w:lang w:eastAsia="en-US"/>
              </w:rPr>
            </w:pPr>
            <w:r w:rsidRPr="006324FA">
              <w:rPr>
                <w:rFonts w:eastAsia="Calibri"/>
                <w:sz w:val="16"/>
                <w:szCs w:val="16"/>
                <w:lang w:eastAsia="en-US"/>
              </w:rPr>
              <w:t>статьи 145, 169, 184, 184</w:t>
            </w:r>
            <w:r w:rsidRPr="006324FA">
              <w:rPr>
                <w:rFonts w:eastAsia="Calibri"/>
                <w:sz w:val="16"/>
                <w:szCs w:val="16"/>
                <w:vertAlign w:val="superscript"/>
                <w:lang w:eastAsia="en-US"/>
              </w:rPr>
              <w:t>1</w:t>
            </w:r>
            <w:r w:rsidRPr="006324FA">
              <w:rPr>
                <w:rFonts w:eastAsia="Calibri"/>
                <w:sz w:val="16"/>
                <w:szCs w:val="16"/>
                <w:lang w:eastAsia="en-US"/>
              </w:rPr>
              <w:t>, 185 Бюджетного кодекса Российской Федерации;</w:t>
            </w:r>
          </w:p>
          <w:p w14:paraId="63D9DAC4" w14:textId="77777777" w:rsidR="006324FA" w:rsidRPr="006324FA" w:rsidRDefault="006324FA" w:rsidP="006324FA">
            <w:pPr>
              <w:autoSpaceDE w:val="0"/>
              <w:autoSpaceDN w:val="0"/>
              <w:adjustRightInd w:val="0"/>
              <w:jc w:val="center"/>
              <w:rPr>
                <w:rFonts w:eastAsia="Calibri"/>
                <w:sz w:val="16"/>
                <w:szCs w:val="16"/>
                <w:lang w:eastAsia="en-US"/>
              </w:rPr>
            </w:pPr>
            <w:r w:rsidRPr="006324FA">
              <w:rPr>
                <w:rFonts w:eastAsia="Calibri"/>
                <w:sz w:val="16"/>
                <w:szCs w:val="16"/>
                <w:lang w:eastAsia="en-US"/>
              </w:rPr>
              <w:t xml:space="preserve">постановление Правительства Российской Федерации от 24 марта 2018 г. № 326 «Об утверждении Правил составления проекта </w:t>
            </w:r>
            <w:r w:rsidRPr="006324FA">
              <w:rPr>
                <w:rFonts w:eastAsia="Calibri"/>
                <w:sz w:val="16"/>
                <w:szCs w:val="16"/>
                <w:lang w:eastAsia="en-US"/>
              </w:rPr>
              <w:lastRenderedPageBreak/>
              <w:t>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655" w:type="dxa"/>
            <w:tcBorders>
              <w:top w:val="single" w:sz="4" w:space="0" w:color="000000"/>
              <w:left w:val="single" w:sz="4" w:space="0" w:color="000000"/>
              <w:bottom w:val="single" w:sz="4" w:space="0" w:color="000000"/>
              <w:right w:val="single" w:sz="2" w:space="0" w:color="000000"/>
            </w:tcBorders>
            <w:shd w:val="clear" w:color="000000" w:fill="FFFFFF"/>
          </w:tcPr>
          <w:p w14:paraId="37AA6DBE" w14:textId="77777777" w:rsidR="006324FA" w:rsidRPr="006324FA" w:rsidRDefault="006324FA" w:rsidP="006324FA">
            <w:pPr>
              <w:autoSpaceDE w:val="0"/>
              <w:autoSpaceDN w:val="0"/>
              <w:adjustRightInd w:val="0"/>
              <w:jc w:val="center"/>
              <w:rPr>
                <w:rFonts w:eastAsia="Calibri"/>
                <w:sz w:val="18"/>
                <w:szCs w:val="18"/>
                <w:lang w:eastAsia="en-US"/>
              </w:rPr>
            </w:pPr>
            <w:r w:rsidRPr="006324FA">
              <w:rPr>
                <w:rFonts w:eastAsia="Calibri"/>
                <w:sz w:val="18"/>
                <w:szCs w:val="18"/>
                <w:lang w:eastAsia="en-US"/>
              </w:rPr>
              <w:lastRenderedPageBreak/>
              <w:t>4 случая</w:t>
            </w:r>
          </w:p>
        </w:tc>
        <w:tc>
          <w:tcPr>
            <w:tcW w:w="1068" w:type="dxa"/>
            <w:tcBorders>
              <w:top w:val="single" w:sz="4" w:space="0" w:color="000000"/>
              <w:left w:val="single" w:sz="4" w:space="0" w:color="000000"/>
              <w:bottom w:val="single" w:sz="4" w:space="0" w:color="000000"/>
              <w:right w:val="single" w:sz="2" w:space="0" w:color="000000"/>
            </w:tcBorders>
            <w:shd w:val="clear" w:color="000000" w:fill="FFFFFF"/>
          </w:tcPr>
          <w:p w14:paraId="2040D204" w14:textId="77777777" w:rsidR="006324FA" w:rsidRPr="006324FA" w:rsidRDefault="006324FA" w:rsidP="006324FA">
            <w:pPr>
              <w:autoSpaceDE w:val="0"/>
              <w:autoSpaceDN w:val="0"/>
              <w:adjustRightInd w:val="0"/>
              <w:jc w:val="center"/>
              <w:rPr>
                <w:rFonts w:eastAsia="Calibri"/>
                <w:sz w:val="18"/>
                <w:szCs w:val="18"/>
                <w:lang w:eastAsia="en-US"/>
              </w:rPr>
            </w:pPr>
            <w:r w:rsidRPr="006324FA">
              <w:rPr>
                <w:rFonts w:eastAsia="Calibri"/>
                <w:sz w:val="18"/>
                <w:szCs w:val="18"/>
                <w:lang w:eastAsia="en-US"/>
              </w:rPr>
              <w:t>1</w:t>
            </w:r>
          </w:p>
        </w:tc>
      </w:tr>
      <w:tr w:rsidR="006324FA" w:rsidRPr="006324FA" w14:paraId="35247B47" w14:textId="77777777" w:rsidTr="00A12E78">
        <w:trPr>
          <w:trHeight w:val="1299"/>
        </w:trPr>
        <w:tc>
          <w:tcPr>
            <w:tcW w:w="735" w:type="dxa"/>
            <w:tcBorders>
              <w:top w:val="single" w:sz="4" w:space="0" w:color="000000"/>
              <w:left w:val="single" w:sz="4" w:space="0" w:color="000000"/>
              <w:bottom w:val="single" w:sz="4" w:space="0" w:color="000000"/>
              <w:right w:val="single" w:sz="2" w:space="0" w:color="000000"/>
            </w:tcBorders>
            <w:shd w:val="clear" w:color="000000" w:fill="FFFFFF"/>
          </w:tcPr>
          <w:p w14:paraId="44EE321D" w14:textId="77777777" w:rsidR="006324FA" w:rsidRPr="006324FA" w:rsidRDefault="006324FA" w:rsidP="006324FA">
            <w:pPr>
              <w:autoSpaceDE w:val="0"/>
              <w:autoSpaceDN w:val="0"/>
              <w:adjustRightInd w:val="0"/>
              <w:jc w:val="both"/>
              <w:rPr>
                <w:rFonts w:ascii="Calibri" w:eastAsia="Calibri" w:hAnsi="Calibri" w:cs="Calibri"/>
                <w:sz w:val="22"/>
                <w:szCs w:val="22"/>
                <w:lang w:val="en-US" w:eastAsia="en-US"/>
              </w:rPr>
            </w:pPr>
            <w:r w:rsidRPr="006324FA">
              <w:rPr>
                <w:rFonts w:eastAsia="Calibri"/>
                <w:sz w:val="18"/>
                <w:szCs w:val="18"/>
                <w:lang w:val="en-US" w:eastAsia="en-US"/>
              </w:rPr>
              <w:t>1.1.18</w:t>
            </w:r>
          </w:p>
        </w:tc>
        <w:tc>
          <w:tcPr>
            <w:tcW w:w="3291" w:type="dxa"/>
            <w:tcBorders>
              <w:top w:val="single" w:sz="4" w:space="0" w:color="000000"/>
              <w:left w:val="single" w:sz="4" w:space="0" w:color="000000"/>
              <w:bottom w:val="single" w:sz="4" w:space="0" w:color="000000"/>
              <w:right w:val="single" w:sz="2" w:space="0" w:color="000000"/>
            </w:tcBorders>
            <w:shd w:val="clear" w:color="000000" w:fill="FFFFFF"/>
          </w:tcPr>
          <w:p w14:paraId="010568F7" w14:textId="77777777" w:rsidR="006324FA" w:rsidRPr="006324FA" w:rsidRDefault="006324FA" w:rsidP="006324FA">
            <w:pPr>
              <w:autoSpaceDE w:val="0"/>
              <w:autoSpaceDN w:val="0"/>
              <w:adjustRightInd w:val="0"/>
              <w:jc w:val="both"/>
              <w:rPr>
                <w:rFonts w:eastAsia="Calibri"/>
                <w:sz w:val="16"/>
                <w:szCs w:val="16"/>
                <w:lang w:eastAsia="en-US"/>
              </w:rPr>
            </w:pPr>
            <w:r w:rsidRPr="006324FA">
              <w:rPr>
                <w:rFonts w:eastAsia="Calibri"/>
                <w:sz w:val="16"/>
                <w:szCs w:val="16"/>
                <w:lang w:eastAsia="en-US"/>
              </w:rPr>
              <w:t xml:space="preserve">Нарушение порядка 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 </w:t>
            </w:r>
          </w:p>
        </w:tc>
        <w:tc>
          <w:tcPr>
            <w:tcW w:w="2587" w:type="dxa"/>
            <w:tcBorders>
              <w:top w:val="single" w:sz="4" w:space="0" w:color="000000"/>
              <w:left w:val="single" w:sz="4" w:space="0" w:color="000000"/>
              <w:bottom w:val="single" w:sz="4" w:space="0" w:color="000000"/>
              <w:right w:val="single" w:sz="2" w:space="0" w:color="000000"/>
            </w:tcBorders>
            <w:shd w:val="clear" w:color="000000" w:fill="FFFFFF"/>
          </w:tcPr>
          <w:p w14:paraId="47988AD2" w14:textId="77777777" w:rsidR="006324FA" w:rsidRPr="006324FA" w:rsidRDefault="006324FA" w:rsidP="006324FA">
            <w:pPr>
              <w:autoSpaceDE w:val="0"/>
              <w:autoSpaceDN w:val="0"/>
              <w:adjustRightInd w:val="0"/>
              <w:jc w:val="center"/>
              <w:rPr>
                <w:rFonts w:ascii="Calibri" w:eastAsia="Calibri" w:hAnsi="Calibri" w:cs="Calibri"/>
                <w:sz w:val="22"/>
                <w:szCs w:val="22"/>
                <w:lang w:eastAsia="en-US"/>
              </w:rPr>
            </w:pPr>
            <w:r w:rsidRPr="006324FA">
              <w:rPr>
                <w:rFonts w:ascii="Times New Roman CYR" w:eastAsia="Calibri" w:hAnsi="Times New Roman CYR" w:cs="Times New Roman CYR"/>
                <w:sz w:val="18"/>
                <w:szCs w:val="18"/>
                <w:lang w:eastAsia="en-US"/>
              </w:rPr>
              <w:t>Статья 179 Бюджетного кодекса Российской Федерации</w:t>
            </w:r>
          </w:p>
        </w:tc>
        <w:tc>
          <w:tcPr>
            <w:tcW w:w="1655" w:type="dxa"/>
            <w:tcBorders>
              <w:top w:val="single" w:sz="4" w:space="0" w:color="000000"/>
              <w:left w:val="single" w:sz="4" w:space="0" w:color="000000"/>
              <w:bottom w:val="single" w:sz="4" w:space="0" w:color="000000"/>
              <w:right w:val="single" w:sz="2" w:space="0" w:color="000000"/>
            </w:tcBorders>
            <w:shd w:val="clear" w:color="000000" w:fill="FFFFFF"/>
          </w:tcPr>
          <w:p w14:paraId="421271E2" w14:textId="77777777" w:rsidR="006324FA" w:rsidRPr="006324FA" w:rsidRDefault="006324FA" w:rsidP="006324FA">
            <w:pPr>
              <w:autoSpaceDE w:val="0"/>
              <w:autoSpaceDN w:val="0"/>
              <w:adjustRightInd w:val="0"/>
              <w:jc w:val="center"/>
              <w:rPr>
                <w:rFonts w:ascii="Calibri" w:eastAsia="Calibri" w:hAnsi="Calibri" w:cs="Calibri"/>
                <w:sz w:val="22"/>
                <w:szCs w:val="22"/>
                <w:lang w:val="en-US" w:eastAsia="en-US"/>
              </w:rPr>
            </w:pPr>
            <w:r w:rsidRPr="006324FA">
              <w:rPr>
                <w:rFonts w:eastAsia="Calibri"/>
                <w:sz w:val="18"/>
                <w:szCs w:val="18"/>
                <w:lang w:eastAsia="en-US"/>
              </w:rPr>
              <w:t>42</w:t>
            </w:r>
            <w:r w:rsidRPr="006324FA">
              <w:rPr>
                <w:rFonts w:eastAsia="Calibri"/>
                <w:sz w:val="18"/>
                <w:szCs w:val="18"/>
                <w:lang w:val="en-US" w:eastAsia="en-US"/>
              </w:rPr>
              <w:t xml:space="preserve"> </w:t>
            </w:r>
            <w:r w:rsidRPr="006324FA">
              <w:rPr>
                <w:rFonts w:ascii="Times New Roman CYR" w:eastAsia="Calibri" w:hAnsi="Times New Roman CYR" w:cs="Times New Roman CYR"/>
                <w:sz w:val="18"/>
                <w:szCs w:val="18"/>
                <w:lang w:eastAsia="en-US"/>
              </w:rPr>
              <w:t>случая</w:t>
            </w:r>
          </w:p>
        </w:tc>
        <w:tc>
          <w:tcPr>
            <w:tcW w:w="1068" w:type="dxa"/>
            <w:tcBorders>
              <w:top w:val="single" w:sz="4" w:space="0" w:color="000000"/>
              <w:left w:val="single" w:sz="4" w:space="0" w:color="000000"/>
              <w:bottom w:val="single" w:sz="4" w:space="0" w:color="000000"/>
              <w:right w:val="single" w:sz="2" w:space="0" w:color="000000"/>
            </w:tcBorders>
            <w:shd w:val="clear" w:color="000000" w:fill="FFFFFF"/>
          </w:tcPr>
          <w:p w14:paraId="58A7B701" w14:textId="77777777" w:rsidR="006324FA" w:rsidRPr="006324FA" w:rsidRDefault="006324FA" w:rsidP="006324FA">
            <w:pPr>
              <w:autoSpaceDE w:val="0"/>
              <w:autoSpaceDN w:val="0"/>
              <w:adjustRightInd w:val="0"/>
              <w:jc w:val="center"/>
              <w:rPr>
                <w:rFonts w:eastAsia="Calibri"/>
                <w:sz w:val="18"/>
                <w:szCs w:val="18"/>
                <w:lang w:eastAsia="en-US"/>
              </w:rPr>
            </w:pPr>
            <w:r w:rsidRPr="006324FA">
              <w:rPr>
                <w:rFonts w:eastAsia="Calibri"/>
                <w:sz w:val="18"/>
                <w:szCs w:val="18"/>
                <w:lang w:eastAsia="en-US"/>
              </w:rPr>
              <w:t>1</w:t>
            </w:r>
          </w:p>
        </w:tc>
      </w:tr>
    </w:tbl>
    <w:p w14:paraId="539A2B6F" w14:textId="77777777" w:rsidR="006324FA" w:rsidRPr="006324FA" w:rsidRDefault="006324FA" w:rsidP="006324FA">
      <w:pPr>
        <w:autoSpaceDE w:val="0"/>
        <w:autoSpaceDN w:val="0"/>
        <w:adjustRightInd w:val="0"/>
        <w:jc w:val="both"/>
        <w:rPr>
          <w:rFonts w:ascii="Times New Roman CYR" w:eastAsia="Calibri" w:hAnsi="Times New Roman CYR" w:cs="Times New Roman CYR"/>
          <w:sz w:val="24"/>
          <w:szCs w:val="24"/>
          <w:lang w:eastAsia="en-US"/>
        </w:rPr>
      </w:pPr>
      <w:r w:rsidRPr="006324FA">
        <w:rPr>
          <w:rFonts w:ascii="Times New Roman CYR" w:eastAsia="Calibri" w:hAnsi="Times New Roman CYR" w:cs="Times New Roman CYR"/>
          <w:sz w:val="24"/>
          <w:szCs w:val="24"/>
          <w:lang w:eastAsia="en-US"/>
        </w:rPr>
        <w:t xml:space="preserve">         В целях соблюдения бюджетного законодательства и правовых актов местного самоуправления в соответствии с приоритетами социально-экономического развития, определенными стратегией социально-экономического развития Нюксенского муниципального округа, Контрольно-счетная комиссия округа предлагает:</w:t>
      </w:r>
    </w:p>
    <w:p w14:paraId="5C811697" w14:textId="77777777" w:rsidR="006324FA" w:rsidRPr="006324FA" w:rsidRDefault="006324FA" w:rsidP="006324FA">
      <w:pPr>
        <w:widowControl w:val="0"/>
        <w:tabs>
          <w:tab w:val="left" w:pos="709"/>
        </w:tabs>
        <w:autoSpaceDE w:val="0"/>
        <w:autoSpaceDN w:val="0"/>
        <w:adjustRightInd w:val="0"/>
        <w:spacing w:after="200"/>
        <w:contextualSpacing/>
        <w:jc w:val="center"/>
        <w:rPr>
          <w:rFonts w:eastAsia="Calibri"/>
          <w:b/>
          <w:i/>
          <w:sz w:val="24"/>
          <w:szCs w:val="24"/>
          <w:lang w:eastAsia="en-US"/>
        </w:rPr>
      </w:pPr>
    </w:p>
    <w:p w14:paraId="5F4C93D1" w14:textId="77777777" w:rsidR="006324FA" w:rsidRPr="006324FA" w:rsidRDefault="006324FA" w:rsidP="006324FA">
      <w:pPr>
        <w:widowControl w:val="0"/>
        <w:tabs>
          <w:tab w:val="left" w:pos="709"/>
        </w:tabs>
        <w:autoSpaceDE w:val="0"/>
        <w:autoSpaceDN w:val="0"/>
        <w:adjustRightInd w:val="0"/>
        <w:spacing w:after="200"/>
        <w:contextualSpacing/>
        <w:jc w:val="center"/>
        <w:rPr>
          <w:rFonts w:eastAsia="Calibri"/>
          <w:b/>
          <w:i/>
          <w:sz w:val="24"/>
          <w:szCs w:val="24"/>
          <w:lang w:eastAsia="en-US"/>
        </w:rPr>
      </w:pPr>
      <w:r w:rsidRPr="006324FA">
        <w:rPr>
          <w:rFonts w:eastAsia="Calibri"/>
          <w:b/>
          <w:i/>
          <w:sz w:val="24"/>
          <w:szCs w:val="24"/>
          <w:lang w:eastAsia="en-US"/>
        </w:rPr>
        <w:t xml:space="preserve">Представительному Собранию Нюксенского муниципального округа   </w:t>
      </w:r>
    </w:p>
    <w:p w14:paraId="17CFA786" w14:textId="77777777" w:rsidR="006324FA" w:rsidRPr="006324FA" w:rsidRDefault="006324FA" w:rsidP="006324FA">
      <w:pPr>
        <w:widowControl w:val="0"/>
        <w:tabs>
          <w:tab w:val="left" w:pos="709"/>
        </w:tabs>
        <w:autoSpaceDE w:val="0"/>
        <w:autoSpaceDN w:val="0"/>
        <w:adjustRightInd w:val="0"/>
        <w:spacing w:after="200"/>
        <w:contextualSpacing/>
        <w:jc w:val="center"/>
        <w:rPr>
          <w:rFonts w:eastAsia="Calibri"/>
          <w:sz w:val="24"/>
          <w:szCs w:val="24"/>
          <w:lang w:eastAsia="en-US"/>
        </w:rPr>
      </w:pPr>
      <w:r w:rsidRPr="006324FA">
        <w:rPr>
          <w:rFonts w:eastAsia="Calibri"/>
          <w:sz w:val="24"/>
          <w:szCs w:val="24"/>
          <w:lang w:eastAsia="en-US"/>
        </w:rPr>
        <w:t>при рассмотрении проекта решения</w:t>
      </w:r>
    </w:p>
    <w:p w14:paraId="145A770E" w14:textId="77777777" w:rsidR="006324FA" w:rsidRPr="006324FA" w:rsidRDefault="006324FA" w:rsidP="006324FA">
      <w:pPr>
        <w:widowControl w:val="0"/>
        <w:tabs>
          <w:tab w:val="left" w:pos="709"/>
        </w:tabs>
        <w:autoSpaceDE w:val="0"/>
        <w:autoSpaceDN w:val="0"/>
        <w:adjustRightInd w:val="0"/>
        <w:spacing w:after="200"/>
        <w:ind w:firstLine="426"/>
        <w:contextualSpacing/>
        <w:jc w:val="both"/>
        <w:rPr>
          <w:rFonts w:eastAsia="Calibri"/>
          <w:sz w:val="24"/>
          <w:szCs w:val="24"/>
          <w:lang w:eastAsia="en-US"/>
        </w:rPr>
      </w:pPr>
      <w:r w:rsidRPr="006324FA">
        <w:rPr>
          <w:rFonts w:eastAsia="Calibri"/>
          <w:sz w:val="24"/>
          <w:szCs w:val="24"/>
          <w:lang w:eastAsia="en-US"/>
        </w:rPr>
        <w:t>1.Учесть заключение Контрольно-счетной комиссии Нюксенского муниципального округа.</w:t>
      </w:r>
    </w:p>
    <w:p w14:paraId="6D96107A" w14:textId="77777777" w:rsidR="006324FA" w:rsidRPr="006324FA" w:rsidRDefault="006324FA" w:rsidP="006324FA">
      <w:pPr>
        <w:widowControl w:val="0"/>
        <w:tabs>
          <w:tab w:val="left" w:pos="709"/>
        </w:tabs>
        <w:autoSpaceDE w:val="0"/>
        <w:autoSpaceDN w:val="0"/>
        <w:adjustRightInd w:val="0"/>
        <w:spacing w:after="200"/>
        <w:ind w:firstLine="426"/>
        <w:contextualSpacing/>
        <w:jc w:val="center"/>
        <w:rPr>
          <w:rFonts w:eastAsia="Calibri"/>
          <w:b/>
          <w:i/>
          <w:sz w:val="24"/>
          <w:szCs w:val="24"/>
          <w:lang w:eastAsia="en-US"/>
        </w:rPr>
      </w:pPr>
      <w:r w:rsidRPr="006324FA">
        <w:rPr>
          <w:rFonts w:eastAsia="Calibri"/>
          <w:b/>
          <w:i/>
          <w:sz w:val="24"/>
          <w:szCs w:val="24"/>
          <w:lang w:eastAsia="en-US"/>
        </w:rPr>
        <w:t>Администрации округа</w:t>
      </w:r>
    </w:p>
    <w:p w14:paraId="31030199" w14:textId="77777777" w:rsidR="006324FA" w:rsidRPr="006324FA" w:rsidRDefault="006324FA" w:rsidP="006324FA">
      <w:pPr>
        <w:autoSpaceDE w:val="0"/>
        <w:autoSpaceDN w:val="0"/>
        <w:adjustRightInd w:val="0"/>
        <w:jc w:val="both"/>
        <w:rPr>
          <w:rFonts w:eastAsia="Calibri"/>
          <w:sz w:val="24"/>
          <w:szCs w:val="24"/>
          <w:lang w:eastAsia="en-US"/>
        </w:rPr>
      </w:pPr>
    </w:p>
    <w:p w14:paraId="5B610600" w14:textId="77777777" w:rsidR="006324FA" w:rsidRPr="006324FA" w:rsidRDefault="006324FA" w:rsidP="006324FA">
      <w:pPr>
        <w:numPr>
          <w:ilvl w:val="0"/>
          <w:numId w:val="47"/>
        </w:numPr>
        <w:tabs>
          <w:tab w:val="left" w:pos="426"/>
        </w:tabs>
        <w:autoSpaceDE w:val="0"/>
        <w:autoSpaceDN w:val="0"/>
        <w:adjustRightInd w:val="0"/>
        <w:ind w:left="0" w:firstLine="426"/>
        <w:contextualSpacing/>
        <w:jc w:val="both"/>
        <w:rPr>
          <w:rFonts w:eastAsia="Calibri"/>
          <w:sz w:val="24"/>
          <w:szCs w:val="24"/>
          <w:lang w:eastAsia="en-US"/>
        </w:rPr>
      </w:pPr>
      <w:r w:rsidRPr="006324FA">
        <w:rPr>
          <w:rFonts w:eastAsia="Calibri"/>
          <w:bCs/>
          <w:sz w:val="24"/>
          <w:szCs w:val="24"/>
          <w:lang w:eastAsia="en-US"/>
        </w:rPr>
        <w:t>Не допускать неэффективного использования бюджетных средств.</w:t>
      </w:r>
    </w:p>
    <w:p w14:paraId="3430096A" w14:textId="77777777" w:rsidR="006324FA" w:rsidRPr="006324FA" w:rsidRDefault="006324FA" w:rsidP="006324FA">
      <w:pPr>
        <w:numPr>
          <w:ilvl w:val="0"/>
          <w:numId w:val="47"/>
        </w:numPr>
        <w:tabs>
          <w:tab w:val="left" w:pos="426"/>
        </w:tabs>
        <w:autoSpaceDE w:val="0"/>
        <w:autoSpaceDN w:val="0"/>
        <w:adjustRightInd w:val="0"/>
        <w:ind w:left="0" w:firstLine="426"/>
        <w:contextualSpacing/>
        <w:jc w:val="both"/>
        <w:rPr>
          <w:rFonts w:eastAsia="Calibri"/>
          <w:sz w:val="24"/>
          <w:szCs w:val="24"/>
          <w:lang w:eastAsia="en-US"/>
        </w:rPr>
      </w:pPr>
      <w:r w:rsidRPr="006324FA">
        <w:rPr>
          <w:rFonts w:eastAsia="Calibri"/>
          <w:bCs/>
          <w:sz w:val="24"/>
          <w:szCs w:val="24"/>
          <w:lang w:eastAsia="en-US"/>
        </w:rPr>
        <w:t>Разработать и дополнить Проект решения приложением №7, предоставить в контрольно-счетную комиссию.</w:t>
      </w:r>
    </w:p>
    <w:p w14:paraId="31E5F210" w14:textId="77777777" w:rsidR="006324FA" w:rsidRPr="006324FA" w:rsidRDefault="006324FA" w:rsidP="006324FA">
      <w:pPr>
        <w:numPr>
          <w:ilvl w:val="0"/>
          <w:numId w:val="47"/>
        </w:numPr>
        <w:tabs>
          <w:tab w:val="left" w:pos="426"/>
        </w:tabs>
        <w:autoSpaceDE w:val="0"/>
        <w:autoSpaceDN w:val="0"/>
        <w:adjustRightInd w:val="0"/>
        <w:ind w:left="0" w:firstLine="426"/>
        <w:contextualSpacing/>
        <w:jc w:val="both"/>
        <w:rPr>
          <w:rFonts w:eastAsia="Calibri"/>
          <w:sz w:val="24"/>
          <w:szCs w:val="24"/>
          <w:lang w:eastAsia="en-US"/>
        </w:rPr>
      </w:pPr>
      <w:r w:rsidRPr="006324FA">
        <w:rPr>
          <w:rFonts w:ascii="Times New Roman CYR" w:eastAsia="Calibri" w:hAnsi="Times New Roman CYR" w:cs="Times New Roman CYR"/>
          <w:sz w:val="24"/>
          <w:szCs w:val="24"/>
          <w:lang w:eastAsia="en-US"/>
        </w:rPr>
        <w:t>Рассмотреть вопрос о внесении дополнительной информации в пояснительную записку к Проекту решения расходных обязательствах в разбивке по разделам и подразделам.</w:t>
      </w:r>
    </w:p>
    <w:p w14:paraId="5D841F63" w14:textId="77777777" w:rsidR="006324FA" w:rsidRPr="006324FA" w:rsidRDefault="006324FA" w:rsidP="006324FA">
      <w:pPr>
        <w:numPr>
          <w:ilvl w:val="0"/>
          <w:numId w:val="47"/>
        </w:numPr>
        <w:tabs>
          <w:tab w:val="left" w:pos="426"/>
        </w:tabs>
        <w:autoSpaceDE w:val="0"/>
        <w:autoSpaceDN w:val="0"/>
        <w:adjustRightInd w:val="0"/>
        <w:ind w:left="0" w:firstLine="360"/>
        <w:contextualSpacing/>
        <w:jc w:val="both"/>
        <w:rPr>
          <w:sz w:val="24"/>
          <w:szCs w:val="24"/>
        </w:rPr>
      </w:pPr>
      <w:r w:rsidRPr="006324FA">
        <w:rPr>
          <w:sz w:val="24"/>
          <w:szCs w:val="24"/>
        </w:rPr>
        <w:t>Не представлены паспорта муниципальных программ: Развитие топливно-энергетического комплекса и коммунальной инфраструктуры на территории Нюксенского муниципального округа и Развитие культуры, туризма, молодежной политики, физической культуры и спорта Нюксенского муниципального округа.</w:t>
      </w:r>
    </w:p>
    <w:p w14:paraId="30B4EF0F" w14:textId="77777777" w:rsidR="006324FA" w:rsidRPr="006324FA" w:rsidRDefault="006324FA" w:rsidP="006324FA">
      <w:pPr>
        <w:numPr>
          <w:ilvl w:val="0"/>
          <w:numId w:val="47"/>
        </w:numPr>
        <w:tabs>
          <w:tab w:val="left" w:pos="426"/>
        </w:tabs>
        <w:autoSpaceDE w:val="0"/>
        <w:autoSpaceDN w:val="0"/>
        <w:adjustRightInd w:val="0"/>
        <w:ind w:left="0" w:firstLine="360"/>
        <w:contextualSpacing/>
        <w:jc w:val="both"/>
        <w:rPr>
          <w:rFonts w:eastAsia="Calibri"/>
          <w:sz w:val="24"/>
          <w:szCs w:val="24"/>
          <w:lang w:eastAsia="en-US"/>
        </w:rPr>
      </w:pPr>
      <w:r w:rsidRPr="006324FA">
        <w:rPr>
          <w:sz w:val="24"/>
          <w:szCs w:val="24"/>
        </w:rPr>
        <w:t xml:space="preserve">По муниципальной программе «Социальная поддержка граждан Нюксенского муниципального округа», предусмотренной Проектом бюджета округа, наименование муниципальной программы не соответствуют утвержденному Перечню муниципальных программ (в приложениях 3,4,5 указано наименование «Социальная поддержка граждан и социально ориентированных некоммерческих организаций Нюксенского муниципального округа»): </w:t>
      </w:r>
      <w:r w:rsidRPr="006324FA">
        <w:rPr>
          <w:iCs/>
          <w:sz w:val="24"/>
          <w:szCs w:val="24"/>
        </w:rPr>
        <w:t>Развитие топливно-энергетического комплекса и коммунальной инфраструктуры на территории Нюксенского муниципального округа и Развитие культуры, туризма, молодежной политики, физической культуры и спорта Нюксенского муниципального округа.</w:t>
      </w:r>
    </w:p>
    <w:p w14:paraId="2843E0FA" w14:textId="77777777" w:rsidR="006324FA" w:rsidRPr="006324FA" w:rsidRDefault="006324FA" w:rsidP="006324FA">
      <w:pPr>
        <w:numPr>
          <w:ilvl w:val="0"/>
          <w:numId w:val="47"/>
        </w:numPr>
        <w:tabs>
          <w:tab w:val="left" w:pos="426"/>
        </w:tabs>
        <w:autoSpaceDE w:val="0"/>
        <w:autoSpaceDN w:val="0"/>
        <w:adjustRightInd w:val="0"/>
        <w:ind w:left="0" w:firstLine="426"/>
        <w:contextualSpacing/>
        <w:jc w:val="both"/>
        <w:rPr>
          <w:rFonts w:eastAsia="Calibri"/>
          <w:sz w:val="24"/>
          <w:szCs w:val="24"/>
          <w:lang w:eastAsia="en-US"/>
        </w:rPr>
      </w:pPr>
      <w:r w:rsidRPr="006324FA">
        <w:rPr>
          <w:iCs/>
          <w:sz w:val="24"/>
          <w:szCs w:val="24"/>
        </w:rPr>
        <w:t>Привести</w:t>
      </w:r>
      <w:r w:rsidRPr="006324FA">
        <w:rPr>
          <w:sz w:val="24"/>
          <w:szCs w:val="24"/>
        </w:rPr>
        <w:t xml:space="preserve"> значения показателя </w:t>
      </w:r>
      <w:r w:rsidRPr="006324FA">
        <w:rPr>
          <w:iCs/>
          <w:sz w:val="24"/>
          <w:szCs w:val="24"/>
        </w:rPr>
        <w:t xml:space="preserve">«Объём инвестиций в основной капитал на душу населения </w:t>
      </w:r>
      <w:r w:rsidRPr="006324FA">
        <w:rPr>
          <w:sz w:val="24"/>
          <w:szCs w:val="24"/>
        </w:rPr>
        <w:t xml:space="preserve">на 2025-2027 годы государственной программы «Экономическое развитие Нюксенского муниципального округа» в соответствие с прогнозом социально-экономического развития </w:t>
      </w:r>
      <w:r w:rsidRPr="006324FA">
        <w:rPr>
          <w:iCs/>
          <w:sz w:val="24"/>
          <w:szCs w:val="24"/>
        </w:rPr>
        <w:t>Нюксенского муниципального округа</w:t>
      </w:r>
      <w:r w:rsidRPr="006324FA">
        <w:rPr>
          <w:i/>
          <w:sz w:val="24"/>
          <w:szCs w:val="24"/>
        </w:rPr>
        <w:t xml:space="preserve"> </w:t>
      </w:r>
      <w:r w:rsidRPr="006324FA">
        <w:rPr>
          <w:sz w:val="24"/>
          <w:szCs w:val="24"/>
        </w:rPr>
        <w:t>на среднесрочный период 2025-2027 годов.</w:t>
      </w:r>
    </w:p>
    <w:p w14:paraId="4F1A9815" w14:textId="77777777" w:rsidR="006324FA" w:rsidRPr="006324FA" w:rsidRDefault="006324FA" w:rsidP="006324FA">
      <w:pPr>
        <w:numPr>
          <w:ilvl w:val="0"/>
          <w:numId w:val="47"/>
        </w:numPr>
        <w:tabs>
          <w:tab w:val="left" w:pos="426"/>
        </w:tabs>
        <w:autoSpaceDE w:val="0"/>
        <w:autoSpaceDN w:val="0"/>
        <w:adjustRightInd w:val="0"/>
        <w:ind w:left="0" w:firstLine="426"/>
        <w:contextualSpacing/>
        <w:jc w:val="both"/>
        <w:rPr>
          <w:rFonts w:eastAsia="Calibri"/>
          <w:sz w:val="24"/>
          <w:szCs w:val="24"/>
          <w:lang w:eastAsia="en-US"/>
        </w:rPr>
      </w:pPr>
      <w:r w:rsidRPr="006324FA">
        <w:rPr>
          <w:sz w:val="24"/>
          <w:szCs w:val="24"/>
        </w:rPr>
        <w:t>Рассмотреть вопрос и представить информацию об уточнении объемов финансирования субсидий на организацию уличного освещения на 2025 - 2027 годы.</w:t>
      </w:r>
    </w:p>
    <w:p w14:paraId="4A493F7C" w14:textId="77777777" w:rsidR="006324FA" w:rsidRPr="006324FA" w:rsidRDefault="006324FA" w:rsidP="006324FA">
      <w:pPr>
        <w:numPr>
          <w:ilvl w:val="0"/>
          <w:numId w:val="47"/>
        </w:numPr>
        <w:tabs>
          <w:tab w:val="left" w:pos="426"/>
        </w:tabs>
        <w:autoSpaceDE w:val="0"/>
        <w:autoSpaceDN w:val="0"/>
        <w:adjustRightInd w:val="0"/>
        <w:ind w:left="0" w:firstLine="426"/>
        <w:contextualSpacing/>
        <w:jc w:val="both"/>
        <w:rPr>
          <w:rFonts w:eastAsia="Calibri"/>
          <w:sz w:val="24"/>
          <w:szCs w:val="24"/>
          <w:lang w:eastAsia="en-US"/>
        </w:rPr>
      </w:pPr>
      <w:r w:rsidRPr="006324FA">
        <w:rPr>
          <w:rFonts w:eastAsia="Calibri"/>
          <w:color w:val="000000"/>
          <w:sz w:val="24"/>
          <w:szCs w:val="24"/>
          <w:lang w:eastAsia="en-US"/>
        </w:rPr>
        <w:t xml:space="preserve"> Рассмотреть вопрос по соблюдению </w:t>
      </w:r>
      <w:r w:rsidRPr="006324FA">
        <w:rPr>
          <w:sz w:val="24"/>
          <w:szCs w:val="24"/>
        </w:rPr>
        <w:t xml:space="preserve">требований подпункта 4 пункта 1 статьи 158, статье 174.2 Бюджетного кодекса РФ, Основных направлений бюджетной и налоговой политики Нюксенского муниципального округа Вологодской области на 2025 год и плановый период 2026 и 2027 годов, при </w:t>
      </w:r>
      <w:r w:rsidRPr="006324FA">
        <w:rPr>
          <w:rFonts w:eastAsia="Calibri"/>
          <w:sz w:val="24"/>
          <w:szCs w:val="24"/>
        </w:rPr>
        <w:t>планировании соответствующих, расходов бюджета округа и обоснованность бюджетных ассигнований.</w:t>
      </w:r>
    </w:p>
    <w:p w14:paraId="77155A6D"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sz w:val="24"/>
          <w:szCs w:val="24"/>
        </w:rPr>
        <w:t>При отсутствии проектно-сметной документации на капитальный ремонт объектов строительства на 2025 год и плановый период 2026-20127 годы</w:t>
      </w:r>
      <w:r w:rsidRPr="006324FA">
        <w:rPr>
          <w:rFonts w:eastAsia="Calibri"/>
          <w:sz w:val="24"/>
          <w:szCs w:val="24"/>
        </w:rPr>
        <w:t xml:space="preserve"> исключить данные расходы из </w:t>
      </w:r>
      <w:r w:rsidRPr="006324FA">
        <w:rPr>
          <w:rFonts w:eastAsia="Calibri"/>
          <w:sz w:val="24"/>
          <w:szCs w:val="24"/>
        </w:rPr>
        <w:lastRenderedPageBreak/>
        <w:t>бюджета округа</w:t>
      </w:r>
      <w:r w:rsidRPr="006324FA">
        <w:rPr>
          <w:sz w:val="24"/>
          <w:szCs w:val="24"/>
        </w:rPr>
        <w:t xml:space="preserve"> либо предоставить обоснованность включения расходов на финансирование объектов.</w:t>
      </w:r>
    </w:p>
    <w:p w14:paraId="093AF466"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sz w:val="24"/>
          <w:szCs w:val="24"/>
        </w:rPr>
        <w:t>Исключить риски неэффективного использования бюджетных средств и</w:t>
      </w:r>
      <w:r w:rsidRPr="006324FA">
        <w:rPr>
          <w:i/>
          <w:iCs/>
          <w:sz w:val="24"/>
          <w:szCs w:val="24"/>
        </w:rPr>
        <w:t xml:space="preserve"> </w:t>
      </w:r>
      <w:r w:rsidRPr="006324FA">
        <w:rPr>
          <w:sz w:val="24"/>
          <w:szCs w:val="24"/>
        </w:rPr>
        <w:t>риски недостижения целевых показателей муниципальных программ, а в целом национальных целей, задач.</w:t>
      </w:r>
    </w:p>
    <w:p w14:paraId="35BE96A4"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sz w:val="24"/>
          <w:szCs w:val="24"/>
        </w:rPr>
        <w:t>Принять меры по недопущению фактов несоблюдения главными администраторами средств бюджета района принципа эффективности использования бюджетных средств, установленного статьей 34 БК РФ, в части средств, направленных на уплату административных штрафов и исполнение судебных решений по денежным обязательствам бюджета за счет средств бюджета округа.</w:t>
      </w:r>
    </w:p>
    <w:p w14:paraId="6BA5E426"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sz w:val="24"/>
          <w:szCs w:val="24"/>
        </w:rPr>
        <w:t>В целях соблюдения п.3.8., п.3.9., п.3.10. Порядка разработки муниципальных программ контрольно-счетная комиссия рекомендует направлять проекты программ, проекты изменений в муниципальные программы в контрольно-счетную комиссию округа для проведения финансово-экономической экспертизы ответственными исполнителями муниципальных программ.</w:t>
      </w:r>
    </w:p>
    <w:p w14:paraId="562E6616"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rFonts w:eastAsia="Calibri"/>
          <w:color w:val="000000"/>
          <w:sz w:val="24"/>
          <w:szCs w:val="24"/>
          <w:lang w:eastAsia="en-US"/>
        </w:rPr>
        <w:t xml:space="preserve">Проработать вопрос по сокращению </w:t>
      </w:r>
      <w:r w:rsidRPr="006324FA">
        <w:rPr>
          <w:sz w:val="24"/>
          <w:szCs w:val="24"/>
        </w:rPr>
        <w:t xml:space="preserve">задолженности по налогам во все уровни бюджетов округа, в том числе задолженность в бюджет округа в размере 1 625,6 </w:t>
      </w:r>
      <w:proofErr w:type="spellStart"/>
      <w:proofErr w:type="gramStart"/>
      <w:r w:rsidRPr="006324FA">
        <w:rPr>
          <w:sz w:val="24"/>
          <w:szCs w:val="24"/>
        </w:rPr>
        <w:t>тыс.рублей</w:t>
      </w:r>
      <w:proofErr w:type="spellEnd"/>
      <w:proofErr w:type="gramEnd"/>
      <w:r w:rsidRPr="006324FA">
        <w:rPr>
          <w:sz w:val="24"/>
          <w:szCs w:val="24"/>
        </w:rPr>
        <w:t>.</w:t>
      </w:r>
    </w:p>
    <w:p w14:paraId="4D0F4391"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rFonts w:eastAsia="Calibri"/>
          <w:color w:val="000000"/>
          <w:sz w:val="24"/>
          <w:szCs w:val="24"/>
          <w:lang w:eastAsia="en-US"/>
        </w:rPr>
        <w:t xml:space="preserve">Взять на контроль выполнение прогнозного плана приватизации муниципального имущества на </w:t>
      </w:r>
      <w:r w:rsidRPr="006324FA">
        <w:rPr>
          <w:sz w:val="24"/>
          <w:szCs w:val="24"/>
        </w:rPr>
        <w:t>2025 год с доходами в бюджет округа в размере 3 153,4 тыс. рублей.</w:t>
      </w:r>
    </w:p>
    <w:p w14:paraId="5D9FE8E4"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rFonts w:eastAsia="Calibri"/>
          <w:color w:val="000000"/>
          <w:sz w:val="24"/>
          <w:szCs w:val="24"/>
          <w:lang w:eastAsia="en-US"/>
        </w:rPr>
        <w:t>Взять на контроль выполнение показателя по</w:t>
      </w:r>
      <w:r w:rsidRPr="006324FA">
        <w:rPr>
          <w:sz w:val="24"/>
          <w:szCs w:val="24"/>
        </w:rPr>
        <w:t xml:space="preserve"> доходам от использования имущества, находящегося в муниципальной собственности на 2025 год с исполнением 100% в сумме 5 463.0 тыс. рублей. </w:t>
      </w:r>
    </w:p>
    <w:p w14:paraId="5AB65D26" w14:textId="77777777" w:rsidR="006324FA" w:rsidRPr="006324FA" w:rsidRDefault="006324FA" w:rsidP="006324FA">
      <w:pPr>
        <w:numPr>
          <w:ilvl w:val="0"/>
          <w:numId w:val="47"/>
        </w:numPr>
        <w:tabs>
          <w:tab w:val="left" w:pos="426"/>
          <w:tab w:val="left" w:pos="851"/>
        </w:tabs>
        <w:autoSpaceDE w:val="0"/>
        <w:autoSpaceDN w:val="0"/>
        <w:adjustRightInd w:val="0"/>
        <w:ind w:left="0" w:firstLine="426"/>
        <w:contextualSpacing/>
        <w:jc w:val="both"/>
        <w:rPr>
          <w:rFonts w:eastAsia="Calibri"/>
          <w:sz w:val="24"/>
          <w:szCs w:val="24"/>
          <w:lang w:eastAsia="en-US"/>
        </w:rPr>
      </w:pPr>
      <w:r w:rsidRPr="006324FA">
        <w:rPr>
          <w:rFonts w:eastAsia="Calibri"/>
          <w:color w:val="000000"/>
          <w:sz w:val="24"/>
          <w:szCs w:val="24"/>
          <w:lang w:eastAsia="en-US"/>
        </w:rPr>
        <w:t>Взять на контроль выполнение показателя по</w:t>
      </w:r>
      <w:r w:rsidRPr="006324FA">
        <w:rPr>
          <w:sz w:val="24"/>
          <w:szCs w:val="24"/>
        </w:rPr>
        <w:t xml:space="preserve"> доходам от продажи земельных участков, которые расположены в границах муниципальных округов на 2025 год с исполнением 100% в сумме 854,0 тыс. рублей.</w:t>
      </w:r>
    </w:p>
    <w:p w14:paraId="21207158" w14:textId="77777777" w:rsidR="006324FA" w:rsidRPr="006324FA" w:rsidRDefault="006324FA" w:rsidP="006324FA">
      <w:pPr>
        <w:ind w:firstLine="709"/>
        <w:contextualSpacing/>
        <w:jc w:val="both"/>
        <w:rPr>
          <w:b/>
          <w:bCs/>
          <w:sz w:val="24"/>
          <w:szCs w:val="24"/>
        </w:rPr>
      </w:pPr>
      <w:r w:rsidRPr="006324FA">
        <w:rPr>
          <w:b/>
          <w:bCs/>
          <w:sz w:val="24"/>
          <w:szCs w:val="24"/>
        </w:rPr>
        <w:t>По итогам рассмотрения Проект бюджета, Контрольно-счетная комиссия Нюксенского муниципального округа считает возможным принять к рассмотрению проект решения Представительного Собрания Нюксенского муниципального округа «О бюджете Нюксенского муниципального округа на 2025 год и плановый период 2026-2027 годов» в представленной редакции с учетом указанных замечаний и предложений.</w:t>
      </w:r>
    </w:p>
    <w:p w14:paraId="3AF16485" w14:textId="77777777" w:rsidR="00E10633" w:rsidRPr="00E10633" w:rsidRDefault="00E10633" w:rsidP="006324FA">
      <w:pPr>
        <w:ind w:firstLine="709"/>
        <w:jc w:val="both"/>
        <w:rPr>
          <w:b/>
          <w:bCs/>
          <w:sz w:val="24"/>
          <w:szCs w:val="24"/>
        </w:rPr>
      </w:pPr>
    </w:p>
    <w:sectPr w:rsidR="00E10633" w:rsidRPr="00E10633"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87C8A"/>
    <w:multiLevelType w:val="hybridMultilevel"/>
    <w:tmpl w:val="4EEE8F9A"/>
    <w:lvl w:ilvl="0" w:tplc="5AE0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3EA1D74"/>
    <w:lvl w:ilvl="0" w:tplc="43125F80">
      <w:start w:val="1"/>
      <w:numFmt w:val="decimal"/>
      <w:lvlText w:val="%1)"/>
      <w:lvlJc w:val="left"/>
      <w:pPr>
        <w:ind w:left="1353" w:hanging="360"/>
      </w:pPr>
      <w:rPr>
        <w:rFonts w:hint="default"/>
        <w:b w:val="0"/>
        <w:bCs/>
        <w:color w:val="08080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7D4259B"/>
    <w:multiLevelType w:val="hybridMultilevel"/>
    <w:tmpl w:val="36CC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ED30495"/>
    <w:multiLevelType w:val="hybridMultilevel"/>
    <w:tmpl w:val="5FA2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4"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52AA7"/>
    <w:multiLevelType w:val="hybridMultilevel"/>
    <w:tmpl w:val="6EFAE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B482C"/>
    <w:multiLevelType w:val="hybridMultilevel"/>
    <w:tmpl w:val="4154B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221097"/>
    <w:multiLevelType w:val="hybridMultilevel"/>
    <w:tmpl w:val="96EEBF94"/>
    <w:lvl w:ilvl="0" w:tplc="036A5B3C">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0"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2"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37"/>
  </w:num>
  <w:num w:numId="2" w16cid:durableId="117452608">
    <w:abstractNumId w:val="24"/>
  </w:num>
  <w:num w:numId="3" w16cid:durableId="1482505488">
    <w:abstractNumId w:val="12"/>
  </w:num>
  <w:num w:numId="4" w16cid:durableId="1889220925">
    <w:abstractNumId w:val="3"/>
  </w:num>
  <w:num w:numId="5" w16cid:durableId="323120651">
    <w:abstractNumId w:val="32"/>
  </w:num>
  <w:num w:numId="6" w16cid:durableId="1056197142">
    <w:abstractNumId w:val="20"/>
  </w:num>
  <w:num w:numId="7" w16cid:durableId="1497840487">
    <w:abstractNumId w:val="27"/>
  </w:num>
  <w:num w:numId="8" w16cid:durableId="264967709">
    <w:abstractNumId w:val="6"/>
  </w:num>
  <w:num w:numId="9" w16cid:durableId="290286745">
    <w:abstractNumId w:val="14"/>
  </w:num>
  <w:num w:numId="10" w16cid:durableId="698240347">
    <w:abstractNumId w:val="43"/>
  </w:num>
  <w:num w:numId="11" w16cid:durableId="1100101546">
    <w:abstractNumId w:val="9"/>
  </w:num>
  <w:num w:numId="12" w16cid:durableId="628708139">
    <w:abstractNumId w:val="41"/>
  </w:num>
  <w:num w:numId="13" w16cid:durableId="814106637">
    <w:abstractNumId w:val="39"/>
  </w:num>
  <w:num w:numId="14" w16cid:durableId="1259754728">
    <w:abstractNumId w:val="42"/>
  </w:num>
  <w:num w:numId="15" w16cid:durableId="1677806706">
    <w:abstractNumId w:val="21"/>
  </w:num>
  <w:num w:numId="16" w16cid:durableId="298657470">
    <w:abstractNumId w:val="28"/>
  </w:num>
  <w:num w:numId="17" w16cid:durableId="1613172402">
    <w:abstractNumId w:val="0"/>
  </w:num>
  <w:num w:numId="18" w16cid:durableId="2054304275">
    <w:abstractNumId w:val="34"/>
  </w:num>
  <w:num w:numId="19" w16cid:durableId="419326851">
    <w:abstractNumId w:val="7"/>
  </w:num>
  <w:num w:numId="20" w16cid:durableId="712997888">
    <w:abstractNumId w:val="15"/>
  </w:num>
  <w:num w:numId="21" w16cid:durableId="1170171990">
    <w:abstractNumId w:val="22"/>
  </w:num>
  <w:num w:numId="22" w16cid:durableId="1457866846">
    <w:abstractNumId w:val="33"/>
  </w:num>
  <w:num w:numId="23" w16cid:durableId="426312366">
    <w:abstractNumId w:val="36"/>
  </w:num>
  <w:num w:numId="24" w16cid:durableId="1047679768">
    <w:abstractNumId w:val="45"/>
  </w:num>
  <w:num w:numId="25" w16cid:durableId="1348680704">
    <w:abstractNumId w:val="38"/>
  </w:num>
  <w:num w:numId="26" w16cid:durableId="1362703653">
    <w:abstractNumId w:val="40"/>
  </w:num>
  <w:num w:numId="27" w16cid:durableId="2015571565">
    <w:abstractNumId w:val="25"/>
  </w:num>
  <w:num w:numId="28" w16cid:durableId="376197893">
    <w:abstractNumId w:val="1"/>
  </w:num>
  <w:num w:numId="29" w16cid:durableId="1003432228">
    <w:abstractNumId w:val="30"/>
  </w:num>
  <w:num w:numId="30" w16cid:durableId="1389767566">
    <w:abstractNumId w:val="10"/>
  </w:num>
  <w:num w:numId="31" w16cid:durableId="1026635302">
    <w:abstractNumId w:val="4"/>
  </w:num>
  <w:num w:numId="32" w16cid:durableId="130682461">
    <w:abstractNumId w:val="23"/>
  </w:num>
  <w:num w:numId="33" w16cid:durableId="691808608">
    <w:abstractNumId w:val="8"/>
  </w:num>
  <w:num w:numId="34" w16cid:durableId="245574875">
    <w:abstractNumId w:val="31"/>
  </w:num>
  <w:num w:numId="35" w16cid:durableId="375853191">
    <w:abstractNumId w:val="44"/>
  </w:num>
  <w:num w:numId="36" w16cid:durableId="820728235">
    <w:abstractNumId w:val="13"/>
  </w:num>
  <w:num w:numId="37" w16cid:durableId="1200900387">
    <w:abstractNumId w:val="5"/>
  </w:num>
  <w:num w:numId="38" w16cid:durableId="1967347429">
    <w:abstractNumId w:val="35"/>
  </w:num>
  <w:num w:numId="39" w16cid:durableId="1705210642">
    <w:abstractNumId w:val="17"/>
  </w:num>
  <w:num w:numId="40" w16cid:durableId="991103092">
    <w:abstractNumId w:val="11"/>
  </w:num>
  <w:num w:numId="41" w16cid:durableId="142354975">
    <w:abstractNumId w:val="16"/>
  </w:num>
  <w:num w:numId="42" w16cid:durableId="720443648">
    <w:abstractNumId w:val="26"/>
  </w:num>
  <w:num w:numId="43" w16cid:durableId="1155494617">
    <w:abstractNumId w:val="8"/>
  </w:num>
  <w:num w:numId="44" w16cid:durableId="1213424516">
    <w:abstractNumId w:val="19"/>
  </w:num>
  <w:num w:numId="45" w16cid:durableId="185676174">
    <w:abstractNumId w:val="2"/>
  </w:num>
  <w:num w:numId="46" w16cid:durableId="1588802823">
    <w:abstractNumId w:val="18"/>
  </w:num>
  <w:num w:numId="47" w16cid:durableId="211960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773FD"/>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324FA"/>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185A"/>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A70F2"/>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5BB4"/>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0633"/>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85C71"/>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
    <w:name w:val="Нет списка5"/>
    <w:next w:val="a2"/>
    <w:semiHidden/>
    <w:rsid w:val="00E10633"/>
  </w:style>
  <w:style w:type="paragraph" w:customStyle="1" w:styleId="affa">
    <w:name w:val="Знак Знак Знак Знак Знак Знак"/>
    <w:basedOn w:val="a"/>
    <w:rsid w:val="00E10633"/>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2024-07-26T12:43:00Z</cp:lastPrinted>
  <dcterms:created xsi:type="dcterms:W3CDTF">2024-12-05T09:00:00Z</dcterms:created>
  <dcterms:modified xsi:type="dcterms:W3CDTF">2024-12-05T09:02:00Z</dcterms:modified>
</cp:coreProperties>
</file>