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0BC46ECE" w14:textId="77777777" w:rsidR="00B57EDF" w:rsidRPr="00B57EDF" w:rsidRDefault="00B57EDF" w:rsidP="00B57EDF">
      <w:pPr>
        <w:spacing w:line="240" w:lineRule="exact"/>
        <w:ind w:firstLine="284"/>
        <w:jc w:val="both"/>
        <w:rPr>
          <w:rFonts w:eastAsia="Calibri"/>
          <w:sz w:val="24"/>
          <w:szCs w:val="24"/>
          <w:lang w:eastAsia="en-US"/>
        </w:rPr>
      </w:pPr>
    </w:p>
    <w:p w14:paraId="107318CE" w14:textId="77777777" w:rsidR="00336EC8" w:rsidRPr="00336EC8" w:rsidRDefault="00336EC8" w:rsidP="00336EC8">
      <w:pPr>
        <w:spacing w:line="240" w:lineRule="exact"/>
        <w:ind w:firstLine="284"/>
        <w:jc w:val="both"/>
        <w:rPr>
          <w:b/>
          <w:bCs/>
          <w:sz w:val="28"/>
          <w:szCs w:val="28"/>
        </w:rPr>
      </w:pPr>
      <w:r w:rsidRPr="00336EC8">
        <w:rPr>
          <w:b/>
          <w:bCs/>
          <w:sz w:val="28"/>
          <w:szCs w:val="28"/>
        </w:rPr>
        <w:t>по результатам экспертно-аналитического мероприятия «Проверка по расходам бюджетных средств по разделу 01.02 с детальной расшифровкой заработной платы, начислений командировочных расходов и по разделу 01.04, административные расходы, заработная плата водителя, расходы на ГСМ и содержание а/м Тойота Е253УР»</w:t>
      </w:r>
    </w:p>
    <w:p w14:paraId="2A8B5D32" w14:textId="77777777" w:rsidR="00336EC8" w:rsidRPr="00336EC8" w:rsidRDefault="00336EC8" w:rsidP="00336EC8">
      <w:pPr>
        <w:tabs>
          <w:tab w:val="left" w:pos="567"/>
        </w:tabs>
        <w:ind w:firstLine="709"/>
        <w:jc w:val="both"/>
        <w:rPr>
          <w:rFonts w:eastAsia="Calibri"/>
          <w:sz w:val="24"/>
          <w:szCs w:val="24"/>
          <w:lang w:eastAsia="en-US"/>
        </w:rPr>
      </w:pPr>
    </w:p>
    <w:p w14:paraId="3F831025" w14:textId="77777777" w:rsidR="00336EC8" w:rsidRPr="00336EC8" w:rsidRDefault="00336EC8" w:rsidP="00336EC8">
      <w:pPr>
        <w:tabs>
          <w:tab w:val="left" w:pos="567"/>
        </w:tabs>
        <w:ind w:firstLine="709"/>
        <w:jc w:val="both"/>
        <w:rPr>
          <w:rFonts w:eastAsia="Calibri"/>
          <w:sz w:val="24"/>
          <w:szCs w:val="24"/>
          <w:lang w:eastAsia="en-US"/>
        </w:rPr>
      </w:pPr>
      <w:r w:rsidRPr="00336EC8">
        <w:rPr>
          <w:rFonts w:eastAsia="Calibri"/>
          <w:sz w:val="24"/>
          <w:szCs w:val="24"/>
          <w:lang w:eastAsia="en-US"/>
        </w:rPr>
        <w:t xml:space="preserve">На основании </w:t>
      </w:r>
      <w:hyperlink r:id="rId8" w:history="1">
        <w:r w:rsidRPr="00336EC8">
          <w:rPr>
            <w:rFonts w:eastAsia="Calibri"/>
            <w:sz w:val="24"/>
            <w:szCs w:val="24"/>
            <w:lang w:eastAsia="en-US"/>
          </w:rPr>
          <w:t>пункта 7 статьи 8</w:t>
        </w:r>
      </w:hyperlink>
      <w:r w:rsidRPr="00336EC8">
        <w:rPr>
          <w:rFonts w:eastAsia="Calibri"/>
          <w:sz w:val="24"/>
          <w:szCs w:val="24"/>
          <w:lang w:eastAsia="en-US"/>
        </w:rPr>
        <w:t xml:space="preserve"> Положения о Контрольно-счетной комиссии Нюксенского муниципального округа,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 проведено экспертно-аналитическое мероприятие. </w:t>
      </w:r>
    </w:p>
    <w:p w14:paraId="220F3223" w14:textId="3D2C0145" w:rsidR="00336EC8" w:rsidRPr="00336EC8" w:rsidRDefault="00336EC8" w:rsidP="00336EC8">
      <w:pPr>
        <w:ind w:firstLine="567"/>
        <w:jc w:val="both"/>
        <w:rPr>
          <w:rFonts w:eastAsia="Calibri"/>
          <w:sz w:val="24"/>
          <w:szCs w:val="24"/>
          <w:lang w:eastAsia="en-US"/>
        </w:rPr>
      </w:pPr>
      <w:r w:rsidRPr="00336EC8">
        <w:rPr>
          <w:rFonts w:eastAsia="Calibri"/>
          <w:b/>
          <w:sz w:val="24"/>
          <w:szCs w:val="24"/>
          <w:lang w:eastAsia="en-US"/>
        </w:rPr>
        <w:t xml:space="preserve">Основание для проведения мероприятия: </w:t>
      </w:r>
      <w:r w:rsidRPr="00336EC8">
        <w:rPr>
          <w:rFonts w:eastAsia="Calibri"/>
          <w:sz w:val="24"/>
          <w:szCs w:val="24"/>
          <w:lang w:eastAsia="en-US"/>
        </w:rPr>
        <w:t xml:space="preserve">депутатский запрос Представительного Собрания Нюксенского муниципального округа Вологодской области от 13.09.2024 года №56 </w:t>
      </w:r>
      <w:r w:rsidRPr="00336EC8">
        <w:rPr>
          <w:sz w:val="24"/>
          <w:szCs w:val="24"/>
        </w:rPr>
        <w:t xml:space="preserve">«Проверка по расходам бюджетных средств по разделу 01.02 с детальной расшифровкой заработной платы, начислений командировочных расходов и по разделу 01.04, административные расходы, заработная плата водителя, расходы на ГСМ и содержание а/м Тойота Е253УР», распоряжение №5-р от 13.09.2024 года «О проведении экспертно-аналитического мероприятия по </w:t>
      </w:r>
      <w:r w:rsidRPr="00336EC8">
        <w:rPr>
          <w:rFonts w:eastAsia="Calibri"/>
          <w:sz w:val="24"/>
          <w:szCs w:val="24"/>
          <w:lang w:eastAsia="en-US"/>
        </w:rPr>
        <w:t>депутатскому запросу Представительного Собрания Нюксенского муниципального округа Вологодской области от 13.09.2024 года №56</w:t>
      </w:r>
      <w:r>
        <w:rPr>
          <w:rFonts w:eastAsia="Calibri"/>
          <w:sz w:val="24"/>
          <w:szCs w:val="24"/>
          <w:lang w:eastAsia="en-US"/>
        </w:rPr>
        <w:t>.</w:t>
      </w:r>
    </w:p>
    <w:p w14:paraId="20193E21" w14:textId="77777777" w:rsidR="00336EC8" w:rsidRPr="00336EC8" w:rsidRDefault="00336EC8" w:rsidP="00336EC8">
      <w:pPr>
        <w:autoSpaceDE w:val="0"/>
        <w:autoSpaceDN w:val="0"/>
        <w:adjustRightInd w:val="0"/>
        <w:spacing w:line="264" w:lineRule="auto"/>
        <w:ind w:firstLine="567"/>
        <w:jc w:val="both"/>
        <w:rPr>
          <w:sz w:val="24"/>
          <w:szCs w:val="24"/>
        </w:rPr>
      </w:pPr>
      <w:r w:rsidRPr="00336EC8">
        <w:rPr>
          <w:sz w:val="24"/>
          <w:szCs w:val="24"/>
        </w:rPr>
        <w:t>При проведении экспертно-аналитического мероприятия «Проверка по расходам бюджетных средств по разделу 01.02 с детальной расшифровкой заработной платы, начислений командировочных расходов и по разделу 01.04, административные расходы, заработная плата водителя, расходы на ГСМ и содержание а/м Тойота Е253УР» установлено следующее:</w:t>
      </w:r>
    </w:p>
    <w:p w14:paraId="037140E6" w14:textId="77777777" w:rsidR="00336EC8" w:rsidRPr="00336EC8" w:rsidRDefault="00336EC8" w:rsidP="00336EC8">
      <w:pPr>
        <w:numPr>
          <w:ilvl w:val="0"/>
          <w:numId w:val="30"/>
        </w:numPr>
        <w:autoSpaceDE w:val="0"/>
        <w:autoSpaceDN w:val="0"/>
        <w:adjustRightInd w:val="0"/>
        <w:spacing w:line="264" w:lineRule="auto"/>
        <w:ind w:left="0" w:firstLine="426"/>
        <w:contextualSpacing/>
        <w:jc w:val="both"/>
        <w:rPr>
          <w:sz w:val="24"/>
          <w:szCs w:val="24"/>
        </w:rPr>
      </w:pPr>
      <w:r w:rsidRPr="00336EC8">
        <w:rPr>
          <w:sz w:val="24"/>
          <w:szCs w:val="24"/>
        </w:rPr>
        <w:t>Фонд оплаты труда соответствует решению Представительного Собрания Нюксенского муниципального округ Вологодской области от 18.04.2024 года №35 «О внесении изменений и дополнений в решение Представительного Собрания Нюксенского муниципального округ Вологодской области от 15.12.2023 №108 «О бюджете Нюксенского муниципального округа Вологодской области на 2024 год и плановый период 2025 и 2026 годов».</w:t>
      </w:r>
    </w:p>
    <w:p w14:paraId="2AD360EB" w14:textId="77777777" w:rsidR="00336EC8" w:rsidRPr="00336EC8" w:rsidRDefault="00336EC8" w:rsidP="00336EC8">
      <w:pPr>
        <w:numPr>
          <w:ilvl w:val="0"/>
          <w:numId w:val="30"/>
        </w:numPr>
        <w:autoSpaceDE w:val="0"/>
        <w:autoSpaceDN w:val="0"/>
        <w:adjustRightInd w:val="0"/>
        <w:spacing w:line="264" w:lineRule="auto"/>
        <w:ind w:left="0" w:firstLine="426"/>
        <w:contextualSpacing/>
        <w:jc w:val="both"/>
        <w:rPr>
          <w:sz w:val="24"/>
          <w:szCs w:val="24"/>
        </w:rPr>
      </w:pPr>
      <w:r w:rsidRPr="00336EC8">
        <w:rPr>
          <w:sz w:val="24"/>
          <w:szCs w:val="24"/>
        </w:rPr>
        <w:t>Факта превышения нормативного годового фонда оплаты труда, рассчитанного на основании штатного расписания по состоянию на 27.09.2024 года не установлено.</w:t>
      </w:r>
    </w:p>
    <w:p w14:paraId="0A39D50A" w14:textId="77777777" w:rsidR="00336EC8" w:rsidRPr="00336EC8" w:rsidRDefault="00336EC8" w:rsidP="00336EC8">
      <w:pPr>
        <w:numPr>
          <w:ilvl w:val="0"/>
          <w:numId w:val="30"/>
        </w:numPr>
        <w:autoSpaceDE w:val="0"/>
        <w:autoSpaceDN w:val="0"/>
        <w:adjustRightInd w:val="0"/>
        <w:spacing w:line="264" w:lineRule="auto"/>
        <w:ind w:left="0" w:firstLine="426"/>
        <w:contextualSpacing/>
        <w:jc w:val="both"/>
        <w:rPr>
          <w:sz w:val="24"/>
          <w:szCs w:val="24"/>
        </w:rPr>
      </w:pPr>
      <w:r w:rsidRPr="00336EC8">
        <w:rPr>
          <w:sz w:val="24"/>
          <w:szCs w:val="24"/>
        </w:rPr>
        <w:t xml:space="preserve">Проверкой правильности использования оплачиваемых отпусков нарушений не установлено. </w:t>
      </w:r>
    </w:p>
    <w:p w14:paraId="67AEA6EA" w14:textId="77777777" w:rsidR="00336EC8" w:rsidRPr="00336EC8" w:rsidRDefault="00336EC8" w:rsidP="00336EC8">
      <w:pPr>
        <w:numPr>
          <w:ilvl w:val="0"/>
          <w:numId w:val="30"/>
        </w:numPr>
        <w:autoSpaceDE w:val="0"/>
        <w:autoSpaceDN w:val="0"/>
        <w:adjustRightInd w:val="0"/>
        <w:spacing w:line="264" w:lineRule="auto"/>
        <w:ind w:left="0" w:firstLine="426"/>
        <w:contextualSpacing/>
        <w:jc w:val="both"/>
        <w:rPr>
          <w:sz w:val="24"/>
          <w:szCs w:val="24"/>
        </w:rPr>
      </w:pPr>
      <w:r w:rsidRPr="00336EC8">
        <w:rPr>
          <w:sz w:val="24"/>
          <w:szCs w:val="24"/>
        </w:rPr>
        <w:t>Нарушений по начислению командировочных расходов не установлено.</w:t>
      </w:r>
    </w:p>
    <w:p w14:paraId="32464762" w14:textId="77777777" w:rsidR="00336EC8" w:rsidRPr="00336EC8" w:rsidRDefault="00336EC8" w:rsidP="00336EC8">
      <w:pPr>
        <w:numPr>
          <w:ilvl w:val="0"/>
          <w:numId w:val="30"/>
        </w:numPr>
        <w:autoSpaceDE w:val="0"/>
        <w:autoSpaceDN w:val="0"/>
        <w:adjustRightInd w:val="0"/>
        <w:spacing w:line="264" w:lineRule="auto"/>
        <w:ind w:left="0" w:firstLine="426"/>
        <w:contextualSpacing/>
        <w:jc w:val="both"/>
        <w:rPr>
          <w:sz w:val="24"/>
          <w:szCs w:val="24"/>
        </w:rPr>
      </w:pPr>
      <w:r w:rsidRPr="00336EC8">
        <w:rPr>
          <w:sz w:val="24"/>
          <w:szCs w:val="24"/>
        </w:rPr>
        <w:t>Перерасхода ГСМ по легковому автомобилю Тойота государственный номер Е253 УР не установлено.</w:t>
      </w:r>
    </w:p>
    <w:p w14:paraId="4D2D556A" w14:textId="77777777" w:rsidR="00336EC8" w:rsidRPr="00336EC8" w:rsidRDefault="00336EC8" w:rsidP="00336EC8">
      <w:pPr>
        <w:numPr>
          <w:ilvl w:val="0"/>
          <w:numId w:val="30"/>
        </w:numPr>
        <w:autoSpaceDE w:val="0"/>
        <w:autoSpaceDN w:val="0"/>
        <w:adjustRightInd w:val="0"/>
        <w:spacing w:line="264" w:lineRule="auto"/>
        <w:ind w:left="0" w:firstLine="426"/>
        <w:contextualSpacing/>
        <w:jc w:val="both"/>
        <w:rPr>
          <w:sz w:val="24"/>
          <w:szCs w:val="24"/>
        </w:rPr>
      </w:pPr>
      <w:r w:rsidRPr="00336EC8">
        <w:rPr>
          <w:sz w:val="24"/>
          <w:szCs w:val="24"/>
        </w:rPr>
        <w:t>Перерасхода бюджетных средств на административные расходы по разделу 0104 не установлено.</w:t>
      </w:r>
    </w:p>
    <w:p w14:paraId="5F32A30A" w14:textId="77777777" w:rsidR="00336EC8" w:rsidRPr="00336EC8" w:rsidRDefault="00336EC8" w:rsidP="00336EC8">
      <w:pPr>
        <w:numPr>
          <w:ilvl w:val="0"/>
          <w:numId w:val="30"/>
        </w:numPr>
        <w:autoSpaceDE w:val="0"/>
        <w:autoSpaceDN w:val="0"/>
        <w:adjustRightInd w:val="0"/>
        <w:spacing w:line="264" w:lineRule="auto"/>
        <w:ind w:left="0" w:firstLine="426"/>
        <w:contextualSpacing/>
        <w:jc w:val="both"/>
        <w:rPr>
          <w:sz w:val="24"/>
          <w:szCs w:val="24"/>
        </w:rPr>
      </w:pPr>
      <w:r w:rsidRPr="00336EC8">
        <w:rPr>
          <w:sz w:val="24"/>
          <w:szCs w:val="24"/>
        </w:rPr>
        <w:t>Нецелевого использования бюджетных средств Нюксенского муниципального округа Вологодской области за проверяемый период не установлено.</w:t>
      </w:r>
    </w:p>
    <w:p w14:paraId="33E319DA" w14:textId="77777777" w:rsidR="00471CF9" w:rsidRPr="00471CF9" w:rsidRDefault="00471CF9" w:rsidP="00336EC8">
      <w:pPr>
        <w:spacing w:after="200" w:line="264" w:lineRule="auto"/>
        <w:ind w:firstLine="851"/>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184D0171"/>
    <w:multiLevelType w:val="hybridMultilevel"/>
    <w:tmpl w:val="85B4BCC2"/>
    <w:lvl w:ilvl="0" w:tplc="EE003D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0"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F46D0E"/>
    <w:multiLevelType w:val="hybridMultilevel"/>
    <w:tmpl w:val="AF6E9C5C"/>
    <w:lvl w:ilvl="0" w:tplc="FB601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5"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7"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22"/>
  </w:num>
  <w:num w:numId="2" w16cid:durableId="117452608">
    <w:abstractNumId w:val="13"/>
  </w:num>
  <w:num w:numId="3" w16cid:durableId="1482505488">
    <w:abstractNumId w:val="7"/>
  </w:num>
  <w:num w:numId="4" w16cid:durableId="1889220925">
    <w:abstractNumId w:val="2"/>
  </w:num>
  <w:num w:numId="5" w16cid:durableId="323120651">
    <w:abstractNumId w:val="18"/>
  </w:num>
  <w:num w:numId="6" w16cid:durableId="1056197142">
    <w:abstractNumId w:val="10"/>
  </w:num>
  <w:num w:numId="7" w16cid:durableId="1497840487">
    <w:abstractNumId w:val="15"/>
  </w:num>
  <w:num w:numId="8" w16cid:durableId="264967709">
    <w:abstractNumId w:val="3"/>
  </w:num>
  <w:num w:numId="9" w16cid:durableId="290286745">
    <w:abstractNumId w:val="8"/>
  </w:num>
  <w:num w:numId="10" w16cid:durableId="698240347">
    <w:abstractNumId w:val="28"/>
  </w:num>
  <w:num w:numId="11" w16cid:durableId="1100101546">
    <w:abstractNumId w:val="5"/>
  </w:num>
  <w:num w:numId="12" w16cid:durableId="628708139">
    <w:abstractNumId w:val="26"/>
  </w:num>
  <w:num w:numId="13" w16cid:durableId="814106637">
    <w:abstractNumId w:val="24"/>
  </w:num>
  <w:num w:numId="14" w16cid:durableId="1259754728">
    <w:abstractNumId w:val="27"/>
  </w:num>
  <w:num w:numId="15" w16cid:durableId="1677806706">
    <w:abstractNumId w:val="11"/>
  </w:num>
  <w:num w:numId="16" w16cid:durableId="298657470">
    <w:abstractNumId w:val="16"/>
  </w:num>
  <w:num w:numId="17" w16cid:durableId="1613172402">
    <w:abstractNumId w:val="0"/>
  </w:num>
  <w:num w:numId="18" w16cid:durableId="2054304275">
    <w:abstractNumId w:val="20"/>
  </w:num>
  <w:num w:numId="19" w16cid:durableId="419326851">
    <w:abstractNumId w:val="4"/>
  </w:num>
  <w:num w:numId="20" w16cid:durableId="712997888">
    <w:abstractNumId w:val="9"/>
  </w:num>
  <w:num w:numId="21" w16cid:durableId="1170171990">
    <w:abstractNumId w:val="12"/>
  </w:num>
  <w:num w:numId="22" w16cid:durableId="1457866846">
    <w:abstractNumId w:val="19"/>
  </w:num>
  <w:num w:numId="23" w16cid:durableId="426312366">
    <w:abstractNumId w:val="21"/>
  </w:num>
  <w:num w:numId="24" w16cid:durableId="1047679768">
    <w:abstractNumId w:val="29"/>
  </w:num>
  <w:num w:numId="25" w16cid:durableId="1348680704">
    <w:abstractNumId w:val="23"/>
  </w:num>
  <w:num w:numId="26" w16cid:durableId="1362703653">
    <w:abstractNumId w:val="25"/>
  </w:num>
  <w:num w:numId="27" w16cid:durableId="2015571565">
    <w:abstractNumId w:val="14"/>
  </w:num>
  <w:num w:numId="28" w16cid:durableId="376197893">
    <w:abstractNumId w:val="1"/>
  </w:num>
  <w:num w:numId="29" w16cid:durableId="1003432228">
    <w:abstractNumId w:val="17"/>
  </w:num>
  <w:num w:numId="30" w16cid:durableId="1389767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6EC8"/>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2024-07-26T12:43:00Z</cp:lastPrinted>
  <dcterms:created xsi:type="dcterms:W3CDTF">2024-10-29T08:47:00Z</dcterms:created>
  <dcterms:modified xsi:type="dcterms:W3CDTF">2024-10-29T09:20:00Z</dcterms:modified>
</cp:coreProperties>
</file>