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627F753C" w14:textId="77777777" w:rsidR="00410B33" w:rsidRPr="00410B33" w:rsidRDefault="00410B33" w:rsidP="00410B33">
      <w:pPr>
        <w:widowControl w:val="0"/>
        <w:autoSpaceDE w:val="0"/>
        <w:autoSpaceDN w:val="0"/>
        <w:adjustRightInd w:val="0"/>
        <w:spacing w:line="240" w:lineRule="exact"/>
        <w:jc w:val="both"/>
        <w:rPr>
          <w:rFonts w:eastAsia="Calibri"/>
          <w:color w:val="000000"/>
          <w:sz w:val="28"/>
          <w:szCs w:val="28"/>
          <w:lang w:eastAsia="en-US"/>
        </w:rPr>
      </w:pPr>
      <w:r w:rsidRPr="00410B33">
        <w:rPr>
          <w:rFonts w:eastAsia="Calibri"/>
          <w:sz w:val="28"/>
          <w:szCs w:val="28"/>
          <w:lang w:eastAsia="en-US"/>
        </w:rPr>
        <w:t>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от 06.12.2019 № 368 «Об утверждении муниципальной программы «Дорожная сеть и транспортное обслуживание в 2021-2025 годах»»</w:t>
      </w:r>
    </w:p>
    <w:p w14:paraId="4EC170E9" w14:textId="77777777" w:rsidR="00410B33" w:rsidRPr="00410B33" w:rsidRDefault="00410B33" w:rsidP="00410B33">
      <w:pPr>
        <w:widowControl w:val="0"/>
        <w:autoSpaceDE w:val="0"/>
        <w:autoSpaceDN w:val="0"/>
        <w:adjustRightInd w:val="0"/>
        <w:rPr>
          <w:rFonts w:eastAsia="Calibri"/>
          <w:sz w:val="28"/>
          <w:szCs w:val="28"/>
          <w:lang w:eastAsia="en-US"/>
        </w:rPr>
      </w:pPr>
    </w:p>
    <w:p w14:paraId="6E158CFC" w14:textId="77777777" w:rsidR="00410B33" w:rsidRPr="00410B33" w:rsidRDefault="00410B33" w:rsidP="00410B33">
      <w:pPr>
        <w:widowControl w:val="0"/>
        <w:autoSpaceDE w:val="0"/>
        <w:autoSpaceDN w:val="0"/>
        <w:adjustRightInd w:val="0"/>
        <w:rPr>
          <w:rFonts w:eastAsia="Calibri"/>
          <w:sz w:val="28"/>
          <w:szCs w:val="28"/>
          <w:lang w:eastAsia="en-US"/>
        </w:rPr>
      </w:pPr>
      <w:r w:rsidRPr="00410B33">
        <w:rPr>
          <w:rFonts w:eastAsia="Calibri"/>
          <w:sz w:val="28"/>
          <w:szCs w:val="28"/>
          <w:lang w:eastAsia="en-US"/>
        </w:rPr>
        <w:t>от 26 июля 2024 года                                                                               №19-э</w:t>
      </w:r>
    </w:p>
    <w:p w14:paraId="4BCE806E" w14:textId="77777777" w:rsidR="00410B33" w:rsidRPr="00410B33" w:rsidRDefault="00410B33" w:rsidP="00410B33">
      <w:pPr>
        <w:widowControl w:val="0"/>
        <w:autoSpaceDE w:val="0"/>
        <w:autoSpaceDN w:val="0"/>
        <w:adjustRightInd w:val="0"/>
        <w:rPr>
          <w:rFonts w:eastAsia="Calibri"/>
          <w:sz w:val="28"/>
          <w:szCs w:val="28"/>
          <w:lang w:eastAsia="en-US"/>
        </w:rPr>
      </w:pPr>
    </w:p>
    <w:p w14:paraId="4C21D08E" w14:textId="77777777" w:rsidR="00410B33" w:rsidRPr="00410B33" w:rsidRDefault="00410B33" w:rsidP="00410B33">
      <w:pPr>
        <w:widowControl w:val="0"/>
        <w:tabs>
          <w:tab w:val="left" w:pos="567"/>
        </w:tabs>
        <w:autoSpaceDE w:val="0"/>
        <w:autoSpaceDN w:val="0"/>
        <w:adjustRightInd w:val="0"/>
        <w:jc w:val="both"/>
        <w:rPr>
          <w:rFonts w:eastAsia="Calibri"/>
          <w:sz w:val="28"/>
          <w:szCs w:val="28"/>
          <w:lang w:eastAsia="en-US"/>
        </w:rPr>
      </w:pPr>
      <w:r w:rsidRPr="00410B33">
        <w:rPr>
          <w:rFonts w:eastAsia="Calibri"/>
          <w:b/>
          <w:bCs/>
          <w:sz w:val="28"/>
          <w:szCs w:val="28"/>
          <w:lang w:eastAsia="en-US"/>
        </w:rPr>
        <w:tab/>
      </w:r>
      <w:r w:rsidRPr="00410B33">
        <w:rPr>
          <w:rFonts w:eastAsia="Calibri"/>
          <w:sz w:val="28"/>
          <w:szCs w:val="28"/>
          <w:lang w:eastAsia="en-US"/>
        </w:rPr>
        <w:t xml:space="preserve">На основании </w:t>
      </w:r>
      <w:hyperlink r:id="rId8" w:history="1">
        <w:r w:rsidRPr="00410B33">
          <w:rPr>
            <w:rFonts w:eastAsia="Calibri"/>
            <w:sz w:val="28"/>
            <w:szCs w:val="28"/>
            <w:lang w:eastAsia="en-US"/>
          </w:rPr>
          <w:t>пункта 7 статьи 8</w:t>
        </w:r>
      </w:hyperlink>
      <w:r w:rsidRPr="00410B33">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410B33">
        <w:rPr>
          <w:sz w:val="28"/>
          <w:szCs w:val="28"/>
        </w:rPr>
        <w:t xml:space="preserve"> </w:t>
      </w:r>
      <w:r w:rsidRPr="00410B33">
        <w:rPr>
          <w:rFonts w:eastAsia="Calibri"/>
          <w:sz w:val="28"/>
          <w:szCs w:val="28"/>
          <w:lang w:eastAsia="en-US"/>
        </w:rPr>
        <w:t>Решения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№108(с учетом изменений и дополнений);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484AB432" w14:textId="77777777" w:rsidR="00410B33" w:rsidRPr="00410B33" w:rsidRDefault="00410B33" w:rsidP="00410B33">
      <w:pPr>
        <w:widowControl w:val="0"/>
        <w:tabs>
          <w:tab w:val="left" w:pos="567"/>
        </w:tabs>
        <w:autoSpaceDE w:val="0"/>
        <w:autoSpaceDN w:val="0"/>
        <w:adjustRightInd w:val="0"/>
        <w:ind w:firstLine="709"/>
        <w:jc w:val="both"/>
        <w:rPr>
          <w:rFonts w:eastAsia="Calibri"/>
          <w:sz w:val="28"/>
          <w:szCs w:val="28"/>
          <w:lang w:eastAsia="en-US"/>
        </w:rPr>
      </w:pPr>
      <w:r w:rsidRPr="00410B33">
        <w:rPr>
          <w:rFonts w:eastAsia="Calibri"/>
          <w:sz w:val="28"/>
          <w:szCs w:val="28"/>
          <w:lang w:eastAsia="en-US"/>
        </w:rPr>
        <w:t xml:space="preserve">Контрольно-счетной комиссией проведена финансово-экономическая экспертиза </w:t>
      </w:r>
      <w:bookmarkStart w:id="0" w:name="_Hlk19638358"/>
      <w:r w:rsidRPr="00410B33">
        <w:rPr>
          <w:rFonts w:eastAsia="Calibri"/>
          <w:sz w:val="28"/>
          <w:szCs w:val="28"/>
          <w:lang w:eastAsia="en-US"/>
        </w:rPr>
        <w:t xml:space="preserve">Проекта постановления администрации Нюксенского муниципального округа «О внесении изменений в постановление администрации Нюксенского муниципального района от 06.12.2019 № 368 «Об утверждении муниципальной программы «Дорожная сеть и транспортное обслуживание в 2021-2025 годах» </w:t>
      </w:r>
      <w:bookmarkEnd w:id="0"/>
      <w:r w:rsidRPr="00410B33">
        <w:rPr>
          <w:rFonts w:eastAsia="Calibri"/>
          <w:sz w:val="28"/>
          <w:szCs w:val="28"/>
          <w:lang w:eastAsia="en-US"/>
        </w:rPr>
        <w:t>(далее – Проект постановления).</w:t>
      </w:r>
    </w:p>
    <w:p w14:paraId="74EFCF7B" w14:textId="77777777" w:rsidR="00410B33" w:rsidRPr="00410B33" w:rsidRDefault="00410B33" w:rsidP="00410B33">
      <w:pPr>
        <w:tabs>
          <w:tab w:val="left" w:pos="567"/>
        </w:tabs>
        <w:jc w:val="both"/>
        <w:rPr>
          <w:rFonts w:eastAsia="Calibri"/>
          <w:sz w:val="28"/>
          <w:szCs w:val="28"/>
          <w:lang w:eastAsia="en-US"/>
        </w:rPr>
      </w:pPr>
      <w:r w:rsidRPr="00410B33">
        <w:rPr>
          <w:rFonts w:eastAsia="Calibri"/>
          <w:b/>
          <w:bCs/>
          <w:color w:val="FF0000"/>
          <w:sz w:val="28"/>
          <w:szCs w:val="28"/>
          <w:lang w:eastAsia="en-US"/>
        </w:rPr>
        <w:tab/>
      </w:r>
      <w:r w:rsidRPr="00410B33">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администрацией Нюксенского муниципального округа (далее-администрация округа, отдел строительства, дорожной деятельности и ЖКХ).</w:t>
      </w:r>
    </w:p>
    <w:p w14:paraId="2EF7A269"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Проект постановления;</w:t>
      </w:r>
    </w:p>
    <w:p w14:paraId="6D1E7261"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пояснительная записка;</w:t>
      </w:r>
    </w:p>
    <w:p w14:paraId="4416E41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лист согласования Проекта постановления. </w:t>
      </w:r>
    </w:p>
    <w:p w14:paraId="3D38C263"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В результате экспертизы установлено:</w:t>
      </w:r>
    </w:p>
    <w:p w14:paraId="458611C0"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Изменения в Программу в 2024 году вносятся в-третий раз.</w:t>
      </w:r>
    </w:p>
    <w:p w14:paraId="4363DF06"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Источники финансирования Программы не изменяются. </w:t>
      </w:r>
    </w:p>
    <w:p w14:paraId="696FAEB6" w14:textId="77777777" w:rsidR="00410B33" w:rsidRPr="00410B33" w:rsidRDefault="00410B33" w:rsidP="00410B33">
      <w:pPr>
        <w:ind w:firstLine="567"/>
        <w:jc w:val="both"/>
        <w:rPr>
          <w:rFonts w:eastAsia="Calibri"/>
          <w:sz w:val="28"/>
          <w:szCs w:val="28"/>
          <w:lang w:eastAsia="en-US"/>
        </w:rPr>
      </w:pPr>
      <w:r w:rsidRPr="00410B33">
        <w:rPr>
          <w:rFonts w:eastAsia="Calibri"/>
          <w:sz w:val="28"/>
          <w:szCs w:val="28"/>
          <w:lang w:eastAsia="en-US"/>
        </w:rPr>
        <w:t>Структура программы не меняется, предусматривая реализацию 2-х подпрограмм, изложенных в новой редакции:</w:t>
      </w:r>
    </w:p>
    <w:p w14:paraId="7C8E6B88" w14:textId="77777777" w:rsidR="00410B33" w:rsidRPr="00410B33" w:rsidRDefault="00410B33" w:rsidP="00410B33">
      <w:pPr>
        <w:ind w:firstLine="567"/>
        <w:jc w:val="both"/>
        <w:rPr>
          <w:rFonts w:eastAsia="Calibri"/>
          <w:sz w:val="28"/>
          <w:szCs w:val="28"/>
          <w:lang w:eastAsia="en-US"/>
        </w:rPr>
      </w:pPr>
      <w:r w:rsidRPr="00410B33">
        <w:rPr>
          <w:rFonts w:eastAsia="Calibri"/>
          <w:sz w:val="28"/>
          <w:szCs w:val="28"/>
          <w:lang w:eastAsia="en-US"/>
        </w:rPr>
        <w:t>подпрограмма 1 «Автомобильные дороги»;</w:t>
      </w:r>
    </w:p>
    <w:p w14:paraId="7EC0446D" w14:textId="77777777" w:rsidR="00410B33" w:rsidRPr="00410B33" w:rsidRDefault="00410B33" w:rsidP="00410B33">
      <w:pPr>
        <w:ind w:firstLine="567"/>
        <w:jc w:val="both"/>
        <w:rPr>
          <w:rFonts w:eastAsia="Calibri"/>
          <w:sz w:val="28"/>
          <w:szCs w:val="28"/>
          <w:lang w:eastAsia="en-US"/>
        </w:rPr>
      </w:pPr>
      <w:r w:rsidRPr="00410B33">
        <w:rPr>
          <w:rFonts w:eastAsia="Calibri"/>
          <w:sz w:val="28"/>
          <w:szCs w:val="28"/>
          <w:lang w:eastAsia="en-US"/>
        </w:rPr>
        <w:t>подпрограмма 2 «Транспортное обслуживание населения»;</w:t>
      </w:r>
    </w:p>
    <w:p w14:paraId="310E0BE6"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lastRenderedPageBreak/>
        <w:t>Цели и задачи муниципальной программы не изменены.</w:t>
      </w:r>
    </w:p>
    <w:p w14:paraId="02EB4B9A"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Целевые показатели (индикаторы) программы без изменений.</w:t>
      </w:r>
    </w:p>
    <w:p w14:paraId="17C00CA5" w14:textId="77777777" w:rsidR="00410B33" w:rsidRPr="00410B33" w:rsidRDefault="00410B33" w:rsidP="00410B33">
      <w:pPr>
        <w:shd w:val="clear" w:color="auto" w:fill="FFFFFF"/>
        <w:ind w:firstLine="567"/>
        <w:jc w:val="both"/>
        <w:rPr>
          <w:sz w:val="28"/>
          <w:szCs w:val="28"/>
        </w:rPr>
      </w:pPr>
      <w:r w:rsidRPr="00410B33">
        <w:rPr>
          <w:sz w:val="28"/>
          <w:szCs w:val="28"/>
        </w:rPr>
        <w:t>Внесены изменения по ожидаемым конечным результатам реализации программы до 2026 года:</w:t>
      </w:r>
    </w:p>
    <w:p w14:paraId="3DB1C42D" w14:textId="77777777" w:rsidR="00410B33" w:rsidRPr="00410B33" w:rsidRDefault="00410B33" w:rsidP="00410B33">
      <w:pPr>
        <w:shd w:val="clear" w:color="auto" w:fill="FFFFFF"/>
        <w:ind w:firstLine="567"/>
        <w:jc w:val="both"/>
        <w:rPr>
          <w:sz w:val="26"/>
          <w:szCs w:val="26"/>
        </w:rPr>
      </w:pPr>
    </w:p>
    <w:tbl>
      <w:tblPr>
        <w:tblStyle w:val="9"/>
        <w:tblW w:w="0" w:type="auto"/>
        <w:tblLook w:val="04A0" w:firstRow="1" w:lastRow="0" w:firstColumn="1" w:lastColumn="0" w:noHBand="0" w:noVBand="1"/>
      </w:tblPr>
      <w:tblGrid>
        <w:gridCol w:w="4785"/>
        <w:gridCol w:w="4785"/>
      </w:tblGrid>
      <w:tr w:rsidR="00410B33" w:rsidRPr="00410B33" w14:paraId="4EC5D0EE" w14:textId="77777777" w:rsidTr="0083054E">
        <w:tc>
          <w:tcPr>
            <w:tcW w:w="4785" w:type="dxa"/>
          </w:tcPr>
          <w:p w14:paraId="67BFBF99" w14:textId="77777777" w:rsidR="00410B33" w:rsidRPr="00410B33" w:rsidRDefault="00410B33" w:rsidP="00410B33">
            <w:pPr>
              <w:jc w:val="both"/>
              <w:rPr>
                <w:sz w:val="26"/>
                <w:szCs w:val="26"/>
              </w:rPr>
            </w:pPr>
            <w:r w:rsidRPr="00410B33">
              <w:rPr>
                <w:sz w:val="26"/>
                <w:szCs w:val="26"/>
              </w:rPr>
              <w:t xml:space="preserve">Планируемые изменения </w:t>
            </w:r>
            <w:r w:rsidRPr="00410B33">
              <w:rPr>
                <w:b/>
                <w:bCs/>
                <w:sz w:val="26"/>
                <w:szCs w:val="26"/>
              </w:rPr>
              <w:t>Проектом постановления</w:t>
            </w:r>
          </w:p>
        </w:tc>
        <w:tc>
          <w:tcPr>
            <w:tcW w:w="4785" w:type="dxa"/>
          </w:tcPr>
          <w:p w14:paraId="422634D6" w14:textId="77777777" w:rsidR="00410B33" w:rsidRPr="00410B33" w:rsidRDefault="00410B33" w:rsidP="00410B33">
            <w:pPr>
              <w:jc w:val="both"/>
              <w:rPr>
                <w:sz w:val="26"/>
                <w:szCs w:val="26"/>
              </w:rPr>
            </w:pPr>
            <w:r w:rsidRPr="00410B33">
              <w:rPr>
                <w:sz w:val="26"/>
                <w:szCs w:val="26"/>
              </w:rPr>
              <w:t xml:space="preserve">Действующее постановление </w:t>
            </w:r>
            <w:r w:rsidRPr="00410B33">
              <w:rPr>
                <w:b/>
                <w:bCs/>
                <w:sz w:val="26"/>
                <w:szCs w:val="26"/>
              </w:rPr>
              <w:t>№368 от 06.12.2019 года</w:t>
            </w:r>
          </w:p>
        </w:tc>
      </w:tr>
      <w:tr w:rsidR="00410B33" w:rsidRPr="00410B33" w14:paraId="39635529" w14:textId="77777777" w:rsidTr="0083054E">
        <w:tc>
          <w:tcPr>
            <w:tcW w:w="4785" w:type="dxa"/>
          </w:tcPr>
          <w:p w14:paraId="15ED167A" w14:textId="77777777" w:rsidR="00410B33" w:rsidRPr="00410B33" w:rsidRDefault="00410B33" w:rsidP="00410B33">
            <w:pPr>
              <w:jc w:val="both"/>
              <w:rPr>
                <w:sz w:val="26"/>
                <w:szCs w:val="26"/>
              </w:rPr>
            </w:pPr>
            <w:r w:rsidRPr="00410B33">
              <w:rPr>
                <w:sz w:val="26"/>
                <w:szCs w:val="26"/>
              </w:rPr>
              <w:t>Протяженность отремонтированных участков автомобильных дорог общего пользования местного значения за период -</w:t>
            </w:r>
            <w:r w:rsidRPr="00410B33">
              <w:rPr>
                <w:b/>
                <w:sz w:val="26"/>
                <w:szCs w:val="26"/>
              </w:rPr>
              <w:t>0,922 км на 2024 год</w:t>
            </w:r>
          </w:p>
        </w:tc>
        <w:tc>
          <w:tcPr>
            <w:tcW w:w="4785" w:type="dxa"/>
          </w:tcPr>
          <w:p w14:paraId="4383FBE5" w14:textId="77777777" w:rsidR="00410B33" w:rsidRPr="00410B33" w:rsidRDefault="00410B33" w:rsidP="00410B33">
            <w:pPr>
              <w:jc w:val="both"/>
              <w:rPr>
                <w:sz w:val="26"/>
                <w:szCs w:val="26"/>
              </w:rPr>
            </w:pPr>
            <w:r w:rsidRPr="00410B33">
              <w:rPr>
                <w:sz w:val="26"/>
                <w:szCs w:val="26"/>
              </w:rPr>
              <w:t>Протяженность отремонтированных участков автомобильных дорог общего пользования местного значения за период -</w:t>
            </w:r>
            <w:r w:rsidRPr="00410B33">
              <w:rPr>
                <w:b/>
                <w:bCs/>
                <w:sz w:val="26"/>
                <w:szCs w:val="26"/>
              </w:rPr>
              <w:t>0,4</w:t>
            </w:r>
            <w:r w:rsidRPr="00410B33">
              <w:rPr>
                <w:b/>
                <w:sz w:val="26"/>
                <w:szCs w:val="26"/>
              </w:rPr>
              <w:t xml:space="preserve"> км на 2024 год</w:t>
            </w:r>
          </w:p>
        </w:tc>
      </w:tr>
    </w:tbl>
    <w:p w14:paraId="32C6DEFC"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p>
    <w:p w14:paraId="12654244"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Объем финансирования Программы на 2024 год приводится в соответствие с объемами, предусмотренными решением Представительного Собрания Нюксенского муниципального округа Вологодской области от 15.12.2023 №108 «О бюджете Нюксенского муниципального округа Вологодской области на 2024 год и плановый период 2025 и 2026 годов» (с учетом изменений и дополнений).</w:t>
      </w:r>
    </w:p>
    <w:p w14:paraId="51ABE093"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С учетом вносимых изменений общий объем финансирования на реализацию Программы составит 198 478,2 тыс. рублей, в том числе по годам:</w:t>
      </w:r>
    </w:p>
    <w:p w14:paraId="49D3583E"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2021 год – 27 390,8 тыс. рублей;</w:t>
      </w:r>
    </w:p>
    <w:p w14:paraId="4BED317E"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2022 год – 15 687,6 тыс. рублей; </w:t>
      </w:r>
    </w:p>
    <w:p w14:paraId="659088FC"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2023 год – 35 802,4 тыс. рублей;</w:t>
      </w:r>
    </w:p>
    <w:p w14:paraId="74E4200F"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2024 год – 80 590,8 тыс. рублей;</w:t>
      </w:r>
    </w:p>
    <w:p w14:paraId="6EAECA98"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2025 год – 19 181,3 тыс. рублей;</w:t>
      </w:r>
    </w:p>
    <w:p w14:paraId="429F1FD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2026 год – 19 825,3 тыс. рублей,</w:t>
      </w:r>
    </w:p>
    <w:p w14:paraId="6D94F688"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из них за счет средств: </w:t>
      </w:r>
    </w:p>
    <w:p w14:paraId="06C2BC8A"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областного бюджета – в сумме 113 214,5 тыс. рублей, в том числе по годам:</w:t>
      </w:r>
    </w:p>
    <w:p w14:paraId="77C7BACB"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2021 год – 14 424,8 тыс. рублей;</w:t>
      </w:r>
    </w:p>
    <w:p w14:paraId="4455F49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2022 год – 4 397,6 тыс. рублей; </w:t>
      </w:r>
    </w:p>
    <w:p w14:paraId="3094D544"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2023 год – 19 462,0 тыс. рублей;</w:t>
      </w:r>
    </w:p>
    <w:p w14:paraId="58C66313"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2024 год – 64 321,7 тыс. рублей;</w:t>
      </w:r>
    </w:p>
    <w:p w14:paraId="4DD3B3C8"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2025 год – 5 304,2 тыс. рублей;</w:t>
      </w:r>
    </w:p>
    <w:p w14:paraId="4DA4DE5D"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2026 год – 5 304,2 тыс. рублей,</w:t>
      </w:r>
    </w:p>
    <w:p w14:paraId="48F38667"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p>
    <w:p w14:paraId="4177F77B"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бюджета округа в сумме 85 263,7 тыс. рублей, в том числе по годам:</w:t>
      </w:r>
    </w:p>
    <w:p w14:paraId="325E1043"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2021 год – 12 966,0 тыс. рублей;</w:t>
      </w:r>
    </w:p>
    <w:p w14:paraId="5DA2A75D"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2022 год – 11 290,0 тыс. рублей; </w:t>
      </w:r>
    </w:p>
    <w:p w14:paraId="43FB907F"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2023 год – 16 340,4 тыс. рублей;</w:t>
      </w:r>
    </w:p>
    <w:p w14:paraId="24E33FB1"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2024 год – 16 269,1 тыс. рублей;</w:t>
      </w:r>
    </w:p>
    <w:p w14:paraId="3D0F1DD3"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2025 год – 13 877,1 тыс. рублей;</w:t>
      </w:r>
    </w:p>
    <w:p w14:paraId="07F80E28"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2026 год – 14 521,1 тыс. рублей.</w:t>
      </w:r>
    </w:p>
    <w:p w14:paraId="5243DA97"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По подпрограмме 1 «Автомобильные дороги» составит 179 067,5 тыс. рублей, увеличивается объем финансирования на сумму 3000,0 тыс. рублей, за счет средств бюджета округа, в том числе по годам:</w:t>
      </w:r>
    </w:p>
    <w:p w14:paraId="1025A654"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2021 год – 25 559,8 тыс. рублей;</w:t>
      </w:r>
    </w:p>
    <w:p w14:paraId="0F6AA55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lastRenderedPageBreak/>
        <w:t xml:space="preserve">2022 год – 13 856,7 тыс. рублей; </w:t>
      </w:r>
    </w:p>
    <w:p w14:paraId="095565EE"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2023 год – 31 987,3 тыс. рублей;</w:t>
      </w:r>
    </w:p>
    <w:p w14:paraId="2C3409D8"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2024 год – 76 612,9 тыс. рублей;</w:t>
      </w:r>
    </w:p>
    <w:p w14:paraId="636A67A7"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2025 год – 15 203,4 тыс. рублей;</w:t>
      </w:r>
    </w:p>
    <w:p w14:paraId="041756C0"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2026 год – 15 847,4 тыс. рублей;</w:t>
      </w:r>
    </w:p>
    <w:p w14:paraId="0E67B881"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из них за счет средств: </w:t>
      </w:r>
    </w:p>
    <w:p w14:paraId="3C1DDB8B"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областного бюджета – в сумме 94 580,7 тыс. рублей, в том числе по годам:</w:t>
      </w:r>
    </w:p>
    <w:p w14:paraId="607C438D"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2021 год – 12 667,0 тыс. рублей;</w:t>
      </w:r>
    </w:p>
    <w:p w14:paraId="1A38732F"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2022 год – 2 640,0 тыс. рублей; </w:t>
      </w:r>
    </w:p>
    <w:p w14:paraId="02A78854"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2023 год – 15 800,0 тыс. рублей;</w:t>
      </w:r>
    </w:p>
    <w:p w14:paraId="70259F1B"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2024 год – 60 502,9 тыс. рублей;</w:t>
      </w:r>
    </w:p>
    <w:p w14:paraId="6E55CF89"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2025 год – 1 485,4 тыс. рублей;</w:t>
      </w:r>
    </w:p>
    <w:p w14:paraId="6D07ADEF"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2026 год – 1 485,4 тыс. рублей;</w:t>
      </w:r>
    </w:p>
    <w:p w14:paraId="5AA88AB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бюджета округа в сумме 84 486,8 тыс. рублей, в том числе по годам:</w:t>
      </w:r>
    </w:p>
    <w:p w14:paraId="0EDE165A"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2021 год – 12 892,8 тыс. рублей;</w:t>
      </w:r>
    </w:p>
    <w:p w14:paraId="790C30F1"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 xml:space="preserve">2022 год – 11 216,7 тыс. рублей; </w:t>
      </w:r>
    </w:p>
    <w:p w14:paraId="63BE7ADF"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2023 год – 16 187,3 тыс. рублей;</w:t>
      </w:r>
    </w:p>
    <w:p w14:paraId="1D7C9774"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2024 год – 16 110,0 тыс. рублей;</w:t>
      </w:r>
    </w:p>
    <w:p w14:paraId="4FCAF9D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bookmarkStart w:id="1" w:name="_Hlk172813390"/>
      <w:r w:rsidRPr="00410B33">
        <w:rPr>
          <w:rFonts w:eastAsia="Calibri"/>
          <w:sz w:val="28"/>
          <w:szCs w:val="28"/>
          <w:lang w:eastAsia="en-US"/>
        </w:rPr>
        <w:t>2025 год – 13 718,0 тыс. рублей;</w:t>
      </w:r>
    </w:p>
    <w:bookmarkEnd w:id="1"/>
    <w:p w14:paraId="38DF3F2A"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2026 год – 14 362,0 тыс. рублей;</w:t>
      </w:r>
    </w:p>
    <w:p w14:paraId="6786FF7A"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Изменения в части объема финансирования вносятся на реализацию двух основных мероприятий:</w:t>
      </w:r>
    </w:p>
    <w:p w14:paraId="4103E7A0"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1) «Ремонт и капитальный ремонт автомобильных дорог и искусственных сооружений» уменьшено на 965,3 тыс. рублей и составит 85 430,7 тыс. рублей.</w:t>
      </w:r>
    </w:p>
    <w:p w14:paraId="4DD9CC13"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2) «Содержание автомобильных дорог искусственных сооружений» увеличено на 3 965,3 тыс. рублей и составит 72 608,9 тыс. рублей.</w:t>
      </w:r>
    </w:p>
    <w:p w14:paraId="3776E4C5"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Паспорт подпрограммы 2 «Транспортное обслуживание населения» остается без изменений.</w:t>
      </w:r>
    </w:p>
    <w:p w14:paraId="67333AAC" w14:textId="77777777" w:rsidR="00410B33" w:rsidRPr="00410B33" w:rsidRDefault="00410B33" w:rsidP="00410B33">
      <w:pPr>
        <w:autoSpaceDE w:val="0"/>
        <w:autoSpaceDN w:val="0"/>
        <w:adjustRightInd w:val="0"/>
        <w:ind w:firstLine="708"/>
        <w:jc w:val="both"/>
        <w:rPr>
          <w:rFonts w:eastAsia="Calibri"/>
          <w:sz w:val="28"/>
          <w:szCs w:val="28"/>
          <w:lang w:eastAsia="en-US"/>
        </w:rPr>
      </w:pPr>
      <w:r w:rsidRPr="00410B33">
        <w:rPr>
          <w:rFonts w:eastAsia="Calibri"/>
          <w:sz w:val="28"/>
          <w:szCs w:val="28"/>
          <w:lang w:eastAsia="en-US"/>
        </w:rPr>
        <w:t>Также Контрольно-счетная комиссия отмечает, что представленные отделом строительства, дорожной деятельности и ЖКХ документы не содержат информации о том, как увеличение уровня финансирования программы в целом на 3000,0 тыс. рублей в текущем периоде 2024 года отразится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335EC1E9"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r w:rsidRPr="00410B33">
        <w:rPr>
          <w:rFonts w:eastAsia="Calibri"/>
          <w:sz w:val="28"/>
          <w:szCs w:val="28"/>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5541D0EC" w14:textId="77777777" w:rsidR="00410B33" w:rsidRPr="00410B33" w:rsidRDefault="00410B33" w:rsidP="00410B33">
      <w:pPr>
        <w:widowControl w:val="0"/>
        <w:autoSpaceDE w:val="0"/>
        <w:autoSpaceDN w:val="0"/>
        <w:adjustRightInd w:val="0"/>
        <w:ind w:firstLine="540"/>
        <w:jc w:val="both"/>
        <w:rPr>
          <w:rFonts w:eastAsia="Calibri"/>
          <w:sz w:val="28"/>
          <w:szCs w:val="28"/>
          <w:lang w:eastAsia="en-US"/>
        </w:rPr>
      </w:pPr>
    </w:p>
    <w:p w14:paraId="33E319DA" w14:textId="77777777" w:rsidR="00471CF9" w:rsidRPr="00471CF9" w:rsidRDefault="00471CF9" w:rsidP="00410B33">
      <w:pPr>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18"/>
  </w:num>
  <w:num w:numId="2" w16cid:durableId="117452608">
    <w:abstractNumId w:val="11"/>
  </w:num>
  <w:num w:numId="3" w16cid:durableId="1482505488">
    <w:abstractNumId w:val="5"/>
  </w:num>
  <w:num w:numId="4" w16cid:durableId="1889220925">
    <w:abstractNumId w:val="1"/>
  </w:num>
  <w:num w:numId="5" w16cid:durableId="323120651">
    <w:abstractNumId w:val="14"/>
  </w:num>
  <w:num w:numId="6" w16cid:durableId="1056197142">
    <w:abstractNumId w:val="8"/>
  </w:num>
  <w:num w:numId="7" w16cid:durableId="1497840487">
    <w:abstractNumId w:val="12"/>
  </w:num>
  <w:num w:numId="8" w16cid:durableId="264967709">
    <w:abstractNumId w:val="2"/>
  </w:num>
  <w:num w:numId="9" w16cid:durableId="290286745">
    <w:abstractNumId w:val="6"/>
  </w:num>
  <w:num w:numId="10" w16cid:durableId="698240347">
    <w:abstractNumId w:val="24"/>
  </w:num>
  <w:num w:numId="11" w16cid:durableId="1100101546">
    <w:abstractNumId w:val="4"/>
  </w:num>
  <w:num w:numId="12" w16cid:durableId="628708139">
    <w:abstractNumId w:val="22"/>
  </w:num>
  <w:num w:numId="13" w16cid:durableId="814106637">
    <w:abstractNumId w:val="20"/>
  </w:num>
  <w:num w:numId="14" w16cid:durableId="1259754728">
    <w:abstractNumId w:val="23"/>
  </w:num>
  <w:num w:numId="15" w16cid:durableId="1677806706">
    <w:abstractNumId w:val="9"/>
  </w:num>
  <w:num w:numId="16" w16cid:durableId="298657470">
    <w:abstractNumId w:val="13"/>
  </w:num>
  <w:num w:numId="17" w16cid:durableId="1613172402">
    <w:abstractNumId w:val="0"/>
  </w:num>
  <w:num w:numId="18" w16cid:durableId="2054304275">
    <w:abstractNumId w:val="16"/>
  </w:num>
  <w:num w:numId="19" w16cid:durableId="419326851">
    <w:abstractNumId w:val="3"/>
  </w:num>
  <w:num w:numId="20" w16cid:durableId="712997888">
    <w:abstractNumId w:val="7"/>
  </w:num>
  <w:num w:numId="21" w16cid:durableId="1170171990">
    <w:abstractNumId w:val="10"/>
  </w:num>
  <w:num w:numId="22" w16cid:durableId="1457866846">
    <w:abstractNumId w:val="15"/>
  </w:num>
  <w:num w:numId="23" w16cid:durableId="426312366">
    <w:abstractNumId w:val="17"/>
  </w:num>
  <w:num w:numId="24" w16cid:durableId="1047679768">
    <w:abstractNumId w:val="25"/>
  </w:num>
  <w:num w:numId="25" w16cid:durableId="1348680704">
    <w:abstractNumId w:val="19"/>
  </w:num>
  <w:num w:numId="26" w16cid:durableId="1362703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2024-07-26T12:43:00Z</cp:lastPrinted>
  <dcterms:created xsi:type="dcterms:W3CDTF">2024-07-26T12:39:00Z</dcterms:created>
  <dcterms:modified xsi:type="dcterms:W3CDTF">2024-07-26T13:39:00Z</dcterms:modified>
</cp:coreProperties>
</file>