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691A31">
      <w:pPr>
        <w:jc w:val="both"/>
        <w:rPr>
          <w:b/>
          <w:bCs/>
          <w:sz w:val="28"/>
          <w:szCs w:val="28"/>
        </w:rPr>
      </w:pPr>
    </w:p>
    <w:p w14:paraId="39EAF642" w14:textId="77777777" w:rsidR="00D63A57" w:rsidRPr="00D63A57" w:rsidRDefault="00D63A57" w:rsidP="00D63A57">
      <w:pPr>
        <w:spacing w:line="240" w:lineRule="exact"/>
        <w:jc w:val="both"/>
        <w:rPr>
          <w:sz w:val="28"/>
          <w:szCs w:val="28"/>
        </w:rPr>
      </w:pPr>
      <w:r w:rsidRPr="00D63A57">
        <w:rPr>
          <w:sz w:val="28"/>
          <w:szCs w:val="28"/>
        </w:rPr>
        <w:t>на проект решения Представительного Собрания Нюксенского муниципального округа Вологодской области «О внесении изменений и дополнений в решение Представительного Собрания Нюксенского муниципального округа Вологодской области от 15.12.2023 № 108 «О бюджете Нюксенского муниципального округа Вологодской области на 2024 год и плановый период 2025 и 2026 годов»</w:t>
      </w:r>
    </w:p>
    <w:p w14:paraId="05F60A83" w14:textId="77777777" w:rsidR="00D63A57" w:rsidRPr="00D63A57" w:rsidRDefault="00D63A57" w:rsidP="00D63A57">
      <w:pPr>
        <w:rPr>
          <w:b/>
          <w:bCs/>
          <w:sz w:val="24"/>
          <w:szCs w:val="24"/>
        </w:rPr>
      </w:pPr>
    </w:p>
    <w:p w14:paraId="4AFDF079" w14:textId="77777777" w:rsidR="00D63A57" w:rsidRPr="00D63A57" w:rsidRDefault="00D63A57" w:rsidP="00D63A57">
      <w:pPr>
        <w:ind w:firstLine="709"/>
        <w:contextualSpacing/>
        <w:jc w:val="both"/>
        <w:rPr>
          <w:sz w:val="24"/>
          <w:szCs w:val="24"/>
        </w:rPr>
      </w:pPr>
      <w:r w:rsidRPr="00D63A57">
        <w:rPr>
          <w:sz w:val="24"/>
          <w:szCs w:val="24"/>
        </w:rPr>
        <w:t xml:space="preserve">Заключение по результатам экспертизы соответствия  Проекта </w:t>
      </w:r>
      <w:bookmarkStart w:id="0" w:name="_Hlk125627545"/>
      <w:r w:rsidRPr="00D63A57">
        <w:rPr>
          <w:sz w:val="24"/>
          <w:szCs w:val="24"/>
        </w:rPr>
        <w:t xml:space="preserve">решения Представительного Собрания Нюксенского муниципального округа Вологодской области «О внесении изменений и дополнений в решение Представительного Собрания Нюксенского муниципального округа Вологодской области «О бюджете Нюксенского муниципального округа на 2024 год и плановый период 2025 и 2026 годов» </w:t>
      </w:r>
      <w:bookmarkEnd w:id="0"/>
      <w:r w:rsidRPr="00D63A57">
        <w:rPr>
          <w:sz w:val="24"/>
          <w:szCs w:val="24"/>
        </w:rPr>
        <w:t xml:space="preserve">(далее – Проект решения) и документов, предоставленных с ним, подготовлено в соответствии с Бюджетным кодексом РФ, Положением о бюджетном процессе в  Нюксенском муниципальном округе Вологодской области, утвержденным решением Представительным Собрания Нюксенского муниципального округа Вологодской области от 26.10.2022 №21, на основании пункта 2 части 1 статьи 8 </w:t>
      </w:r>
      <w:bookmarkStart w:id="1" w:name="_Hlk125626243"/>
      <w:r w:rsidRPr="00D63A57">
        <w:rPr>
          <w:sz w:val="24"/>
          <w:szCs w:val="24"/>
        </w:rPr>
        <w:t>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 «О создании Контрольно-счетной комиссии Нюксенского муниципального округа Вологодской области и реорганизации Контрольно-счетной палаты Нюксенского муниципального района Вологодской области» (далее – Контрольно-счетная комиссия округа)</w:t>
      </w:r>
      <w:bookmarkEnd w:id="1"/>
      <w:r w:rsidRPr="00D63A57">
        <w:rPr>
          <w:sz w:val="24"/>
          <w:szCs w:val="24"/>
        </w:rPr>
        <w:t>.</w:t>
      </w:r>
    </w:p>
    <w:p w14:paraId="0AFF243B" w14:textId="77777777" w:rsidR="00D63A57" w:rsidRPr="00D63A57" w:rsidRDefault="00D63A57" w:rsidP="00D63A57">
      <w:pPr>
        <w:autoSpaceDE w:val="0"/>
        <w:autoSpaceDN w:val="0"/>
        <w:adjustRightInd w:val="0"/>
        <w:ind w:firstLine="709"/>
        <w:jc w:val="both"/>
        <w:outlineLvl w:val="0"/>
        <w:rPr>
          <w:sz w:val="24"/>
          <w:szCs w:val="24"/>
        </w:rPr>
      </w:pPr>
      <w:r w:rsidRPr="00D63A57">
        <w:rPr>
          <w:sz w:val="24"/>
          <w:szCs w:val="24"/>
        </w:rPr>
        <w:t>Проект решения внесен администрацией округа на рассмотрение Представительному Собранию Нюксенского муниципального округа в соответствии со статьей 185 Бюджетного кодекса РФ и со статьей 4.5 Положения о бюджетном процессе.</w:t>
      </w:r>
    </w:p>
    <w:p w14:paraId="791DAFD7" w14:textId="77777777" w:rsidR="00D63A57" w:rsidRPr="00D63A57" w:rsidRDefault="00D63A57" w:rsidP="00D63A57">
      <w:pPr>
        <w:autoSpaceDE w:val="0"/>
        <w:autoSpaceDN w:val="0"/>
        <w:adjustRightInd w:val="0"/>
        <w:ind w:firstLine="709"/>
        <w:jc w:val="both"/>
        <w:outlineLvl w:val="0"/>
        <w:rPr>
          <w:sz w:val="24"/>
          <w:szCs w:val="24"/>
        </w:rPr>
      </w:pPr>
      <w:r w:rsidRPr="00D63A57">
        <w:rPr>
          <w:sz w:val="24"/>
          <w:szCs w:val="24"/>
        </w:rPr>
        <w:t>Проект представлен в соответствии с требованиями статьи 4.5.1. Положения о бюджетном процессе с пояснительной запиской к проекту, приложениями, документами.</w:t>
      </w:r>
    </w:p>
    <w:p w14:paraId="02EFC518" w14:textId="77777777" w:rsidR="00D63A57" w:rsidRPr="00D63A57" w:rsidRDefault="00D63A57" w:rsidP="00D63A57">
      <w:pPr>
        <w:tabs>
          <w:tab w:val="left" w:pos="567"/>
          <w:tab w:val="left" w:pos="18286"/>
        </w:tabs>
        <w:ind w:right="-2" w:firstLine="709"/>
        <w:jc w:val="both"/>
        <w:rPr>
          <w:sz w:val="24"/>
          <w:szCs w:val="24"/>
        </w:rPr>
      </w:pPr>
      <w:r w:rsidRPr="00D63A57">
        <w:rPr>
          <w:sz w:val="24"/>
          <w:szCs w:val="24"/>
        </w:rPr>
        <w:t>Рассматриваемый Проект решения с приложениями №1,2,3,4,5,6 и пояснительной запиской к нему поступил в Контрольно-счетную комиссию 22.10.2024 года входящий номер №4072.</w:t>
      </w:r>
    </w:p>
    <w:p w14:paraId="4368D21B" w14:textId="77777777" w:rsidR="00D63A57" w:rsidRPr="00D63A57" w:rsidRDefault="00D63A57" w:rsidP="00D63A57">
      <w:pPr>
        <w:autoSpaceDE w:val="0"/>
        <w:autoSpaceDN w:val="0"/>
        <w:adjustRightInd w:val="0"/>
        <w:ind w:firstLine="709"/>
        <w:jc w:val="both"/>
        <w:outlineLvl w:val="0"/>
        <w:rPr>
          <w:sz w:val="24"/>
          <w:szCs w:val="24"/>
        </w:rPr>
      </w:pPr>
      <w:r w:rsidRPr="00D63A57">
        <w:rPr>
          <w:sz w:val="24"/>
          <w:szCs w:val="24"/>
        </w:rPr>
        <w:t>Согласно пояснительной записке, проект разработан и подготовлен в целях уточнения годовых плановых показателей по доходам и расходам бюджета Нюксенского муниципального округа (далее-бюджет округа), утвержденных решением Представительного Собрания Нюксенского муниципального округа Вологодской области «О бюджете Нюксенского муниципального округа на 2024 год и плановый период 2025 и 2026 годов».</w:t>
      </w:r>
    </w:p>
    <w:p w14:paraId="27512BFB" w14:textId="77777777" w:rsidR="00D63A57" w:rsidRPr="00D63A57" w:rsidRDefault="00D63A57" w:rsidP="00D63A57">
      <w:pPr>
        <w:autoSpaceDE w:val="0"/>
        <w:autoSpaceDN w:val="0"/>
        <w:adjustRightInd w:val="0"/>
        <w:ind w:firstLine="709"/>
        <w:jc w:val="both"/>
        <w:rPr>
          <w:sz w:val="24"/>
          <w:szCs w:val="24"/>
        </w:rPr>
      </w:pPr>
      <w:r w:rsidRPr="00D63A57">
        <w:rPr>
          <w:sz w:val="24"/>
          <w:szCs w:val="24"/>
        </w:rPr>
        <w:t xml:space="preserve">Проектом решения вносятся изменения в текстовую часть, 1,2,3,4,5,6 приложения из 7 утвержденных, дополнив и изложив их в новой редакции. </w:t>
      </w:r>
    </w:p>
    <w:p w14:paraId="70110250" w14:textId="77777777" w:rsidR="00D63A57" w:rsidRPr="00D63A57" w:rsidRDefault="00D63A57" w:rsidP="00D63A57">
      <w:pPr>
        <w:tabs>
          <w:tab w:val="left" w:pos="567"/>
        </w:tabs>
        <w:ind w:firstLine="709"/>
        <w:rPr>
          <w:sz w:val="24"/>
          <w:szCs w:val="24"/>
        </w:rPr>
      </w:pPr>
      <w:r w:rsidRPr="00D63A57">
        <w:rPr>
          <w:sz w:val="24"/>
          <w:szCs w:val="24"/>
        </w:rPr>
        <w:t>Поправки в бюджет округа вносятся в-третий раз.</w:t>
      </w:r>
    </w:p>
    <w:p w14:paraId="5792B7DD" w14:textId="77777777" w:rsidR="00D63A57" w:rsidRPr="00D63A57" w:rsidRDefault="00D63A57" w:rsidP="00D63A57">
      <w:pPr>
        <w:tabs>
          <w:tab w:val="left" w:pos="567"/>
        </w:tabs>
        <w:ind w:firstLine="709"/>
        <w:jc w:val="both"/>
        <w:rPr>
          <w:sz w:val="24"/>
          <w:szCs w:val="24"/>
        </w:rPr>
      </w:pPr>
      <w:r w:rsidRPr="00D63A57">
        <w:rPr>
          <w:sz w:val="24"/>
          <w:szCs w:val="24"/>
        </w:rPr>
        <w:t>Корректировка параметров бюджета округа на 2024 год и плановый период 2025 и 2026 годов вызвана внесением изменений в части межбюджетных трансфертов из областного бюджета, расходов капитального характера и обеспечения деятельности учреждений бюджетной сферы за счет средств дотации и перераспределения средств между статьями расходов бюджета.</w:t>
      </w:r>
    </w:p>
    <w:p w14:paraId="32A47C6B" w14:textId="77777777" w:rsidR="00D63A57" w:rsidRPr="00D63A57" w:rsidRDefault="00D63A57" w:rsidP="00D63A57">
      <w:pPr>
        <w:ind w:firstLine="709"/>
        <w:jc w:val="both"/>
        <w:rPr>
          <w:sz w:val="24"/>
          <w:szCs w:val="24"/>
        </w:rPr>
      </w:pPr>
      <w:r w:rsidRPr="00D63A57">
        <w:rPr>
          <w:sz w:val="24"/>
          <w:szCs w:val="24"/>
        </w:rPr>
        <w:t>С учетом планируемых изменений основные характеристики бюджета округа.</w:t>
      </w:r>
    </w:p>
    <w:p w14:paraId="49AB5471" w14:textId="6BB29A03" w:rsidR="00D63A57" w:rsidRPr="00D63A57" w:rsidRDefault="00D63A57" w:rsidP="00F93A9A">
      <w:pPr>
        <w:ind w:firstLine="709"/>
        <w:contextualSpacing/>
        <w:jc w:val="both"/>
        <w:rPr>
          <w:sz w:val="24"/>
          <w:szCs w:val="24"/>
        </w:rPr>
      </w:pPr>
      <w:r w:rsidRPr="00D63A57">
        <w:rPr>
          <w:b/>
          <w:sz w:val="24"/>
          <w:szCs w:val="24"/>
        </w:rPr>
        <w:t xml:space="preserve">Доходы </w:t>
      </w:r>
      <w:r w:rsidRPr="00D63A57">
        <w:rPr>
          <w:sz w:val="24"/>
          <w:szCs w:val="24"/>
        </w:rPr>
        <w:t xml:space="preserve">бюджета округа на </w:t>
      </w:r>
      <w:r w:rsidRPr="00D63A57">
        <w:rPr>
          <w:b/>
          <w:bCs/>
          <w:sz w:val="24"/>
          <w:szCs w:val="24"/>
        </w:rPr>
        <w:t>2024</w:t>
      </w:r>
      <w:r w:rsidRPr="00D63A57">
        <w:rPr>
          <w:sz w:val="24"/>
          <w:szCs w:val="24"/>
        </w:rPr>
        <w:t xml:space="preserve"> год </w:t>
      </w:r>
      <w:r w:rsidR="00F93A9A">
        <w:rPr>
          <w:sz w:val="24"/>
          <w:szCs w:val="24"/>
        </w:rPr>
        <w:t xml:space="preserve">1 625 278,4 </w:t>
      </w:r>
      <w:r w:rsidRPr="00D63A57">
        <w:rPr>
          <w:sz w:val="24"/>
          <w:szCs w:val="24"/>
        </w:rPr>
        <w:t>тыс. рублей.</w:t>
      </w:r>
    </w:p>
    <w:p w14:paraId="4CD35D86" w14:textId="2CDF8145" w:rsidR="00D63A57" w:rsidRPr="00D63A57" w:rsidRDefault="00D63A57" w:rsidP="00D63A57">
      <w:pPr>
        <w:tabs>
          <w:tab w:val="left" w:pos="709"/>
        </w:tabs>
        <w:spacing w:before="240" w:line="100" w:lineRule="atLeast"/>
        <w:ind w:firstLine="709"/>
        <w:contextualSpacing/>
        <w:jc w:val="both"/>
        <w:rPr>
          <w:rFonts w:eastAsia="Calibri"/>
          <w:sz w:val="24"/>
          <w:szCs w:val="24"/>
          <w:lang w:eastAsia="en-US"/>
        </w:rPr>
      </w:pPr>
      <w:r w:rsidRPr="00D63A57">
        <w:rPr>
          <w:rFonts w:eastAsia="Calibri"/>
          <w:b/>
          <w:bCs/>
          <w:sz w:val="24"/>
          <w:szCs w:val="24"/>
          <w:lang w:eastAsia="en-US"/>
        </w:rPr>
        <w:t>Расходы</w:t>
      </w:r>
      <w:r w:rsidRPr="00D63A57">
        <w:rPr>
          <w:rFonts w:eastAsia="Calibri"/>
          <w:sz w:val="24"/>
          <w:szCs w:val="24"/>
          <w:lang w:eastAsia="en-US"/>
        </w:rPr>
        <w:t xml:space="preserve"> бюджета округа в </w:t>
      </w:r>
      <w:r w:rsidRPr="00D63A57">
        <w:rPr>
          <w:rFonts w:eastAsia="Calibri"/>
          <w:b/>
          <w:bCs/>
          <w:sz w:val="24"/>
          <w:szCs w:val="24"/>
          <w:lang w:eastAsia="en-US"/>
        </w:rPr>
        <w:t>2024</w:t>
      </w:r>
      <w:r w:rsidRPr="00D63A57">
        <w:rPr>
          <w:rFonts w:eastAsia="Calibri"/>
          <w:sz w:val="24"/>
          <w:szCs w:val="24"/>
          <w:lang w:eastAsia="en-US"/>
        </w:rPr>
        <w:t xml:space="preserve"> году составят 1 648 295,3 </w:t>
      </w:r>
      <w:proofErr w:type="spellStart"/>
      <w:r w:rsidRPr="00D63A57">
        <w:rPr>
          <w:rFonts w:eastAsia="Calibri"/>
          <w:sz w:val="24"/>
          <w:szCs w:val="24"/>
          <w:lang w:eastAsia="en-US"/>
        </w:rPr>
        <w:t>тыс.рублей</w:t>
      </w:r>
      <w:proofErr w:type="spellEnd"/>
      <w:r w:rsidR="00F93A9A">
        <w:rPr>
          <w:rFonts w:eastAsia="Calibri"/>
          <w:sz w:val="24"/>
          <w:szCs w:val="24"/>
          <w:lang w:eastAsia="en-US"/>
        </w:rPr>
        <w:t>.</w:t>
      </w:r>
    </w:p>
    <w:p w14:paraId="63B7BBCA" w14:textId="77777777" w:rsidR="00D63A57" w:rsidRPr="00D63A57" w:rsidRDefault="00D63A57" w:rsidP="00D63A57">
      <w:pPr>
        <w:ind w:firstLine="709"/>
        <w:jc w:val="both"/>
        <w:rPr>
          <w:sz w:val="24"/>
          <w:szCs w:val="24"/>
        </w:rPr>
      </w:pPr>
      <w:r w:rsidRPr="00D63A57">
        <w:rPr>
          <w:b/>
          <w:bCs/>
          <w:sz w:val="24"/>
          <w:szCs w:val="24"/>
        </w:rPr>
        <w:t>Размер дефицита бюджета округа</w:t>
      </w:r>
      <w:r w:rsidRPr="00D63A57">
        <w:rPr>
          <w:sz w:val="24"/>
          <w:szCs w:val="24"/>
        </w:rPr>
        <w:t xml:space="preserve"> на </w:t>
      </w:r>
      <w:r w:rsidRPr="00D63A57">
        <w:rPr>
          <w:b/>
          <w:bCs/>
          <w:sz w:val="24"/>
          <w:szCs w:val="24"/>
        </w:rPr>
        <w:t>2024</w:t>
      </w:r>
      <w:r w:rsidRPr="00D63A57">
        <w:rPr>
          <w:sz w:val="24"/>
          <w:szCs w:val="24"/>
        </w:rPr>
        <w:t xml:space="preserve"> год утверждается в сумме 23 016,9 тыс. рублей, что соответствует требованиям статьи 92.1 Бюджетного кодекса Российской Федерации. </w:t>
      </w:r>
    </w:p>
    <w:p w14:paraId="7996B09E" w14:textId="77777777" w:rsidR="00F93A9A" w:rsidRDefault="00D63A57" w:rsidP="00F93A9A">
      <w:pPr>
        <w:ind w:firstLine="567"/>
        <w:jc w:val="both"/>
        <w:rPr>
          <w:bCs/>
          <w:sz w:val="24"/>
          <w:szCs w:val="24"/>
        </w:rPr>
      </w:pPr>
      <w:r w:rsidRPr="00D63A57">
        <w:rPr>
          <w:b/>
          <w:bCs/>
          <w:sz w:val="24"/>
          <w:szCs w:val="24"/>
        </w:rPr>
        <w:lastRenderedPageBreak/>
        <w:t>Доходы и расходы</w:t>
      </w:r>
      <w:r w:rsidRPr="00D63A57">
        <w:rPr>
          <w:sz w:val="24"/>
          <w:szCs w:val="24"/>
        </w:rPr>
        <w:t xml:space="preserve"> бюджета округа на </w:t>
      </w:r>
      <w:r w:rsidRPr="00D63A57">
        <w:rPr>
          <w:b/>
          <w:bCs/>
          <w:sz w:val="24"/>
          <w:szCs w:val="24"/>
        </w:rPr>
        <w:t xml:space="preserve">2025 </w:t>
      </w:r>
      <w:r w:rsidRPr="00D63A57">
        <w:rPr>
          <w:sz w:val="24"/>
          <w:szCs w:val="24"/>
        </w:rPr>
        <w:t xml:space="preserve">год планируется увеличить до 779 158,5 тыс. рублей </w:t>
      </w:r>
      <w:r w:rsidRPr="00D63A57">
        <w:rPr>
          <w:bCs/>
          <w:sz w:val="24"/>
          <w:szCs w:val="24"/>
        </w:rPr>
        <w:t>за счет увеличения безвозмездных поступлений от других бюджетов бюджетной системы Российской Федерации на сумму 5 729,5 тыс. рублей</w:t>
      </w:r>
      <w:r w:rsidR="00F93A9A">
        <w:rPr>
          <w:bCs/>
          <w:sz w:val="24"/>
          <w:szCs w:val="24"/>
        </w:rPr>
        <w:t>.</w:t>
      </w:r>
    </w:p>
    <w:p w14:paraId="4384B11F" w14:textId="77777777" w:rsidR="00F93A9A" w:rsidRDefault="00D63A57" w:rsidP="00F93A9A">
      <w:pPr>
        <w:ind w:firstLine="567"/>
        <w:jc w:val="both"/>
        <w:rPr>
          <w:bCs/>
          <w:sz w:val="24"/>
          <w:szCs w:val="24"/>
        </w:rPr>
      </w:pPr>
      <w:r w:rsidRPr="00D63A57">
        <w:rPr>
          <w:bCs/>
          <w:sz w:val="24"/>
          <w:szCs w:val="24"/>
        </w:rPr>
        <w:t>С учетом изменений объём безвозмездных поступлений составит 569 565,5 тыс. рублей.</w:t>
      </w:r>
    </w:p>
    <w:p w14:paraId="7BAC73A8" w14:textId="77777777" w:rsidR="00F93A9A" w:rsidRDefault="00D63A57" w:rsidP="00F93A9A">
      <w:pPr>
        <w:ind w:firstLine="567"/>
        <w:jc w:val="both"/>
        <w:rPr>
          <w:bCs/>
          <w:sz w:val="24"/>
          <w:szCs w:val="24"/>
        </w:rPr>
      </w:pPr>
      <w:r w:rsidRPr="00D63A57">
        <w:rPr>
          <w:b/>
          <w:bCs/>
          <w:sz w:val="24"/>
          <w:szCs w:val="24"/>
        </w:rPr>
        <w:t>Доходы и расходы</w:t>
      </w:r>
      <w:r w:rsidRPr="00D63A57">
        <w:rPr>
          <w:sz w:val="24"/>
          <w:szCs w:val="24"/>
        </w:rPr>
        <w:t xml:space="preserve"> бюджета округа на </w:t>
      </w:r>
      <w:r w:rsidRPr="00D63A57">
        <w:rPr>
          <w:b/>
          <w:bCs/>
          <w:sz w:val="24"/>
          <w:szCs w:val="24"/>
        </w:rPr>
        <w:t>2026</w:t>
      </w:r>
      <w:r w:rsidRPr="00D63A57">
        <w:rPr>
          <w:sz w:val="24"/>
          <w:szCs w:val="24"/>
        </w:rPr>
        <w:t xml:space="preserve"> год остаются без изменений.</w:t>
      </w:r>
    </w:p>
    <w:p w14:paraId="1FDEA871" w14:textId="11AED84B" w:rsidR="00D63A57" w:rsidRPr="00D63A57" w:rsidRDefault="00D63A57" w:rsidP="00F93A9A">
      <w:pPr>
        <w:ind w:firstLine="567"/>
        <w:jc w:val="both"/>
        <w:rPr>
          <w:bCs/>
          <w:sz w:val="24"/>
          <w:szCs w:val="24"/>
        </w:rPr>
      </w:pPr>
      <w:r w:rsidRPr="00D63A57">
        <w:rPr>
          <w:sz w:val="24"/>
          <w:szCs w:val="24"/>
        </w:rPr>
        <w:t xml:space="preserve">С учетом изменений объём </w:t>
      </w:r>
      <w:r w:rsidRPr="00D63A57">
        <w:rPr>
          <w:b/>
          <w:bCs/>
          <w:sz w:val="24"/>
          <w:szCs w:val="24"/>
        </w:rPr>
        <w:t>безвозмездных поступлений</w:t>
      </w:r>
      <w:r w:rsidRPr="00D63A57">
        <w:rPr>
          <w:sz w:val="24"/>
          <w:szCs w:val="24"/>
        </w:rPr>
        <w:t xml:space="preserve"> составит в </w:t>
      </w:r>
      <w:r w:rsidRPr="00D63A57">
        <w:rPr>
          <w:b/>
          <w:bCs/>
          <w:sz w:val="24"/>
          <w:szCs w:val="24"/>
        </w:rPr>
        <w:t>2024</w:t>
      </w:r>
      <w:r w:rsidRPr="00D63A57">
        <w:rPr>
          <w:sz w:val="24"/>
          <w:szCs w:val="24"/>
        </w:rPr>
        <w:t xml:space="preserve"> году 1 419 025,1 тыс. рублей.</w:t>
      </w:r>
    </w:p>
    <w:p w14:paraId="1EBBC153" w14:textId="77777777" w:rsidR="00D63A57" w:rsidRPr="00D63A57" w:rsidRDefault="00D63A57" w:rsidP="00D63A57">
      <w:pPr>
        <w:ind w:firstLine="709"/>
        <w:jc w:val="both"/>
        <w:rPr>
          <w:sz w:val="24"/>
          <w:szCs w:val="24"/>
        </w:rPr>
      </w:pPr>
      <w:r w:rsidRPr="00D63A57">
        <w:rPr>
          <w:sz w:val="24"/>
          <w:szCs w:val="24"/>
        </w:rPr>
        <w:t>По результатам анализа планируемых Проектом решения изменений бюджетных ассигнований, выделенные на финансирование расходов Нюксенского муниципального округа, проходят в рамках перераспределения лимитов между разделами, целевыми статьями соответствующих муниципальных программ Нюксенского муниципального округа и видами расходов по отдельным главным распорядителям бюджетных средств в пределах доведенных бюджетных ассигнований, что не противоречит Положению о бюджетном процессе округа.</w:t>
      </w:r>
    </w:p>
    <w:p w14:paraId="1862C8CE" w14:textId="77777777" w:rsidR="00D63A57" w:rsidRPr="00D63A57" w:rsidRDefault="00D63A57" w:rsidP="00D63A57">
      <w:pPr>
        <w:ind w:firstLine="567"/>
        <w:jc w:val="both"/>
        <w:rPr>
          <w:iCs/>
          <w:sz w:val="24"/>
          <w:szCs w:val="24"/>
        </w:rPr>
      </w:pPr>
      <w:r w:rsidRPr="00D63A57">
        <w:rPr>
          <w:iCs/>
          <w:sz w:val="24"/>
          <w:szCs w:val="24"/>
        </w:rPr>
        <w:t xml:space="preserve">  Внесение изменений в бюджет округа предусмотрено по всем одиннадцати разделам. </w:t>
      </w:r>
    </w:p>
    <w:p w14:paraId="40425908" w14:textId="77777777" w:rsidR="00D63A57" w:rsidRPr="00D63A57" w:rsidRDefault="00D63A57" w:rsidP="00D63A57">
      <w:pPr>
        <w:ind w:firstLine="709"/>
        <w:contextualSpacing/>
        <w:jc w:val="both"/>
        <w:rPr>
          <w:iCs/>
          <w:sz w:val="24"/>
          <w:szCs w:val="24"/>
        </w:rPr>
      </w:pPr>
      <w:r w:rsidRPr="00D63A57">
        <w:rPr>
          <w:iCs/>
          <w:sz w:val="24"/>
          <w:szCs w:val="24"/>
        </w:rPr>
        <w:t>В рамках муниципальных программ предлагается изменение объема бюджетных ассигнований за счет средств федерального, областного и местного бюджетов.</w:t>
      </w:r>
    </w:p>
    <w:p w14:paraId="4C5E621F" w14:textId="77777777" w:rsidR="00D63A57" w:rsidRPr="00D63A57" w:rsidRDefault="00D63A57" w:rsidP="00D63A57">
      <w:pPr>
        <w:ind w:firstLine="709"/>
        <w:contextualSpacing/>
        <w:jc w:val="both"/>
        <w:rPr>
          <w:iCs/>
          <w:sz w:val="24"/>
          <w:szCs w:val="24"/>
        </w:rPr>
      </w:pPr>
      <w:r w:rsidRPr="00D63A57">
        <w:rPr>
          <w:iCs/>
          <w:sz w:val="24"/>
          <w:szCs w:val="24"/>
        </w:rPr>
        <w:t xml:space="preserve">Кроме того, предлагаются перераспределения бюджетных ассигнований на реализацию отдельных мероприятий муниципальных программ в пределах общего объема расходов, предусмотренных на реализацию данных муниципальных программ. </w:t>
      </w:r>
    </w:p>
    <w:p w14:paraId="1C4C65CA" w14:textId="505C8CD1" w:rsidR="00D63A57" w:rsidRPr="00D63A57" w:rsidRDefault="00D63A57" w:rsidP="00F93A9A">
      <w:pPr>
        <w:ind w:firstLine="709"/>
        <w:contextualSpacing/>
        <w:jc w:val="both"/>
        <w:rPr>
          <w:iCs/>
          <w:sz w:val="24"/>
          <w:szCs w:val="24"/>
        </w:rPr>
      </w:pPr>
      <w:r w:rsidRPr="00D63A57">
        <w:rPr>
          <w:iCs/>
          <w:sz w:val="24"/>
          <w:szCs w:val="24"/>
        </w:rPr>
        <w:t xml:space="preserve">По непрограммным расходам бюджетные ассигнования увеличиваются на сумму 88,4 </w:t>
      </w:r>
      <w:proofErr w:type="spellStart"/>
      <w:r w:rsidRPr="00D63A57">
        <w:rPr>
          <w:iCs/>
          <w:sz w:val="24"/>
          <w:szCs w:val="24"/>
        </w:rPr>
        <w:t>тыс.рублей</w:t>
      </w:r>
      <w:proofErr w:type="spellEnd"/>
      <w:r w:rsidR="00F93A9A">
        <w:rPr>
          <w:iCs/>
          <w:sz w:val="24"/>
          <w:szCs w:val="24"/>
        </w:rPr>
        <w:t>.</w:t>
      </w:r>
    </w:p>
    <w:p w14:paraId="33E319DA" w14:textId="6F8F84F6" w:rsidR="00471CF9" w:rsidRPr="00471CF9" w:rsidRDefault="00D63A57" w:rsidP="00D63A57">
      <w:pPr>
        <w:ind w:firstLine="709"/>
        <w:contextualSpacing/>
        <w:jc w:val="both"/>
        <w:rPr>
          <w:sz w:val="24"/>
          <w:szCs w:val="24"/>
        </w:rPr>
      </w:pPr>
      <w:r w:rsidRPr="00D63A57">
        <w:rPr>
          <w:sz w:val="24"/>
          <w:szCs w:val="24"/>
        </w:rPr>
        <w:t>В целом Проект решения Представительного Собрания Нюксенского муниципального округа «О внесении изменений в решение Представительного Собрания Нюксенского муниципального округа от 15.12.2023 года № 108» соответствует требованиям бюджетного законодательства и может быть рассмотрен Представительным Собранием с учетом указанных замечаний и предложений</w:t>
      </w:r>
      <w:r>
        <w:rPr>
          <w:sz w:val="24"/>
          <w:szCs w:val="24"/>
        </w:rPr>
        <w:t>.</w:t>
      </w:r>
    </w:p>
    <w:sectPr w:rsidR="00471CF9" w:rsidRPr="00471CF9" w:rsidSect="00441DA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565B5E"/>
    <w:multiLevelType w:val="hybridMultilevel"/>
    <w:tmpl w:val="ED742C04"/>
    <w:lvl w:ilvl="0" w:tplc="39EA26FC">
      <w:start w:val="1"/>
      <w:numFmt w:val="decimal"/>
      <w:lvlText w:val="%1."/>
      <w:lvlJc w:val="left"/>
      <w:pPr>
        <w:ind w:left="1494"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5"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9"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2"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 w15:restartNumberingAfterBreak="0">
    <w:nsid w:val="55EA335A"/>
    <w:multiLevelType w:val="hybridMultilevel"/>
    <w:tmpl w:val="2372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15:restartNumberingAfterBreak="0">
    <w:nsid w:val="72A506FE"/>
    <w:multiLevelType w:val="hybridMultilevel"/>
    <w:tmpl w:val="A20AE464"/>
    <w:lvl w:ilvl="0" w:tplc="B3C2B58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3" w15:restartNumberingAfterBreak="0">
    <w:nsid w:val="77EE4461"/>
    <w:multiLevelType w:val="hybridMultilevel"/>
    <w:tmpl w:val="375AC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5"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6"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FCF7978"/>
    <w:multiLevelType w:val="multilevel"/>
    <w:tmpl w:val="A74C79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43530037">
    <w:abstractNumId w:val="20"/>
  </w:num>
  <w:num w:numId="2" w16cid:durableId="117452608">
    <w:abstractNumId w:val="12"/>
  </w:num>
  <w:num w:numId="3" w16cid:durableId="1482505488">
    <w:abstractNumId w:val="6"/>
  </w:num>
  <w:num w:numId="4" w16cid:durableId="1889220925">
    <w:abstractNumId w:val="2"/>
  </w:num>
  <w:num w:numId="5" w16cid:durableId="323120651">
    <w:abstractNumId w:val="16"/>
  </w:num>
  <w:num w:numId="6" w16cid:durableId="1056197142">
    <w:abstractNumId w:val="9"/>
  </w:num>
  <w:num w:numId="7" w16cid:durableId="1497840487">
    <w:abstractNumId w:val="14"/>
  </w:num>
  <w:num w:numId="8" w16cid:durableId="264967709">
    <w:abstractNumId w:val="3"/>
  </w:num>
  <w:num w:numId="9" w16cid:durableId="290286745">
    <w:abstractNumId w:val="7"/>
  </w:num>
  <w:num w:numId="10" w16cid:durableId="698240347">
    <w:abstractNumId w:val="26"/>
  </w:num>
  <w:num w:numId="11" w16cid:durableId="1100101546">
    <w:abstractNumId w:val="5"/>
  </w:num>
  <w:num w:numId="12" w16cid:durableId="628708139">
    <w:abstractNumId w:val="24"/>
  </w:num>
  <w:num w:numId="13" w16cid:durableId="814106637">
    <w:abstractNumId w:val="22"/>
  </w:num>
  <w:num w:numId="14" w16cid:durableId="1259754728">
    <w:abstractNumId w:val="25"/>
  </w:num>
  <w:num w:numId="15" w16cid:durableId="1677806706">
    <w:abstractNumId w:val="10"/>
  </w:num>
  <w:num w:numId="16" w16cid:durableId="298657470">
    <w:abstractNumId w:val="15"/>
  </w:num>
  <w:num w:numId="17" w16cid:durableId="1613172402">
    <w:abstractNumId w:val="0"/>
  </w:num>
  <w:num w:numId="18" w16cid:durableId="2054304275">
    <w:abstractNumId w:val="18"/>
  </w:num>
  <w:num w:numId="19" w16cid:durableId="419326851">
    <w:abstractNumId w:val="4"/>
  </w:num>
  <w:num w:numId="20" w16cid:durableId="712997888">
    <w:abstractNumId w:val="8"/>
  </w:num>
  <w:num w:numId="21" w16cid:durableId="1170171990">
    <w:abstractNumId w:val="11"/>
  </w:num>
  <w:num w:numId="22" w16cid:durableId="1457866846">
    <w:abstractNumId w:val="17"/>
  </w:num>
  <w:num w:numId="23" w16cid:durableId="426312366">
    <w:abstractNumId w:val="19"/>
  </w:num>
  <w:num w:numId="24" w16cid:durableId="1047679768">
    <w:abstractNumId w:val="27"/>
  </w:num>
  <w:num w:numId="25" w16cid:durableId="1348680704">
    <w:abstractNumId w:val="21"/>
  </w:num>
  <w:num w:numId="26" w16cid:durableId="1362703653">
    <w:abstractNumId w:val="23"/>
  </w:num>
  <w:num w:numId="27" w16cid:durableId="2015571565">
    <w:abstractNumId w:val="13"/>
  </w:num>
  <w:num w:numId="28" w16cid:durableId="376197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47B2A"/>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428A"/>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10B33"/>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54E68"/>
    <w:rsid w:val="006658DC"/>
    <w:rsid w:val="006659BD"/>
    <w:rsid w:val="006803E0"/>
    <w:rsid w:val="00680B06"/>
    <w:rsid w:val="00686C58"/>
    <w:rsid w:val="00691A31"/>
    <w:rsid w:val="006A6315"/>
    <w:rsid w:val="006C2047"/>
    <w:rsid w:val="006C65B9"/>
    <w:rsid w:val="006D6551"/>
    <w:rsid w:val="006D7A0A"/>
    <w:rsid w:val="006E2A0F"/>
    <w:rsid w:val="006E7B7C"/>
    <w:rsid w:val="006F2E04"/>
    <w:rsid w:val="006F3F3D"/>
    <w:rsid w:val="006F47EC"/>
    <w:rsid w:val="006F75D7"/>
    <w:rsid w:val="0070027A"/>
    <w:rsid w:val="0070447A"/>
    <w:rsid w:val="00704866"/>
    <w:rsid w:val="00704F1A"/>
    <w:rsid w:val="0070631A"/>
    <w:rsid w:val="007070B5"/>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57EDF"/>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3A57"/>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104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659BA"/>
    <w:rsid w:val="00F75BCB"/>
    <w:rsid w:val="00F8642A"/>
    <w:rsid w:val="00F9378C"/>
    <w:rsid w:val="00F93A9A"/>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nhideWhenUsed/>
    <w:rsid w:val="001B736A"/>
    <w:pPr>
      <w:spacing w:after="120"/>
    </w:pPr>
  </w:style>
  <w:style w:type="character" w:customStyle="1" w:styleId="af">
    <w:name w:val="Основной текст Знак"/>
    <w:basedOn w:val="a0"/>
    <w:link w:val="ae"/>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uiPriority w:val="99"/>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 w:type="numbering" w:customStyle="1" w:styleId="40">
    <w:name w:val="Нет списка4"/>
    <w:next w:val="a2"/>
    <w:uiPriority w:val="99"/>
    <w:semiHidden/>
    <w:unhideWhenUsed/>
    <w:rsid w:val="00F11044"/>
  </w:style>
  <w:style w:type="paragraph" w:customStyle="1" w:styleId="1d">
    <w:name w:val="Знак1"/>
    <w:basedOn w:val="a"/>
    <w:next w:val="a"/>
    <w:semiHidden/>
    <w:rsid w:val="00F11044"/>
    <w:pPr>
      <w:spacing w:after="160" w:line="240" w:lineRule="exact"/>
    </w:pPr>
    <w:rPr>
      <w:rFonts w:ascii="Arial" w:hAnsi="Arial" w:cs="Arial"/>
      <w:lang w:val="en-US" w:eastAsia="en-US"/>
    </w:rPr>
  </w:style>
  <w:style w:type="table" w:customStyle="1" w:styleId="9">
    <w:name w:val="Сетка таблицы9"/>
    <w:basedOn w:val="a1"/>
    <w:next w:val="af5"/>
    <w:uiPriority w:val="59"/>
    <w:rsid w:val="00410B3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5"/>
    <w:uiPriority w:val="59"/>
    <w:rsid w:val="00B57ED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784</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cp:revision>
  <cp:lastPrinted>2024-07-26T12:43:00Z</cp:lastPrinted>
  <dcterms:created xsi:type="dcterms:W3CDTF">2024-10-29T08:47:00Z</dcterms:created>
  <dcterms:modified xsi:type="dcterms:W3CDTF">2024-10-29T11:13:00Z</dcterms:modified>
</cp:coreProperties>
</file>