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6B270162" w14:textId="77777777" w:rsidR="00CA11FE" w:rsidRPr="00CA11FE" w:rsidRDefault="00B57EDF" w:rsidP="00CA11FE">
      <w:pPr>
        <w:widowControl w:val="0"/>
        <w:autoSpaceDE w:val="0"/>
        <w:autoSpaceDN w:val="0"/>
        <w:adjustRightInd w:val="0"/>
        <w:spacing w:line="240" w:lineRule="exact"/>
        <w:jc w:val="center"/>
        <w:rPr>
          <w:rFonts w:eastAsia="Calibri"/>
          <w:sz w:val="28"/>
          <w:szCs w:val="28"/>
          <w:lang w:eastAsia="en-US"/>
        </w:rPr>
      </w:pPr>
      <w:r w:rsidRPr="00B57EDF">
        <w:rPr>
          <w:b/>
          <w:bCs/>
          <w:sz w:val="28"/>
          <w:szCs w:val="28"/>
        </w:rPr>
        <w:t xml:space="preserve">       </w:t>
      </w:r>
      <w:r w:rsidR="00CA11FE" w:rsidRPr="00CA11FE">
        <w:rPr>
          <w:rFonts w:eastAsia="Calibri"/>
          <w:sz w:val="28"/>
          <w:szCs w:val="28"/>
          <w:lang w:eastAsia="en-US"/>
        </w:rPr>
        <w:t>на проект постановления администрации Нюксенского муниципального округа Вологодской области «Об утверждении муниципальной программы «Обеспечение профилактики правонарушений, безопасности населения и территории Нюксенского муниципального округа»</w:t>
      </w:r>
    </w:p>
    <w:p w14:paraId="526D016A" w14:textId="77777777" w:rsidR="00CA11FE" w:rsidRPr="00CA11FE" w:rsidRDefault="00CA11FE" w:rsidP="00CA11FE">
      <w:pPr>
        <w:widowControl w:val="0"/>
        <w:autoSpaceDE w:val="0"/>
        <w:autoSpaceDN w:val="0"/>
        <w:adjustRightInd w:val="0"/>
        <w:rPr>
          <w:rFonts w:eastAsia="Calibri"/>
          <w:sz w:val="28"/>
          <w:szCs w:val="28"/>
          <w:lang w:eastAsia="en-US"/>
        </w:rPr>
      </w:pPr>
    </w:p>
    <w:p w14:paraId="3ADC203E" w14:textId="77777777" w:rsidR="00CA11FE" w:rsidRPr="00CA11FE" w:rsidRDefault="00CA11FE" w:rsidP="00CA11FE">
      <w:pPr>
        <w:widowControl w:val="0"/>
        <w:autoSpaceDE w:val="0"/>
        <w:autoSpaceDN w:val="0"/>
        <w:adjustRightInd w:val="0"/>
        <w:rPr>
          <w:rFonts w:eastAsia="Calibri"/>
          <w:sz w:val="28"/>
          <w:szCs w:val="28"/>
          <w:lang w:eastAsia="en-US"/>
        </w:rPr>
      </w:pPr>
      <w:r w:rsidRPr="00CA11FE">
        <w:rPr>
          <w:rFonts w:eastAsia="Calibri"/>
          <w:sz w:val="28"/>
          <w:szCs w:val="28"/>
          <w:lang w:eastAsia="en-US"/>
        </w:rPr>
        <w:t>от 25 октября 2024 года                                                                             № 26-э</w:t>
      </w:r>
    </w:p>
    <w:p w14:paraId="29CDB11C" w14:textId="77777777" w:rsidR="00CA11FE" w:rsidRPr="00CA11FE" w:rsidRDefault="00CA11FE" w:rsidP="00CA11FE">
      <w:pPr>
        <w:widowControl w:val="0"/>
        <w:autoSpaceDE w:val="0"/>
        <w:autoSpaceDN w:val="0"/>
        <w:adjustRightInd w:val="0"/>
        <w:rPr>
          <w:rFonts w:eastAsia="Calibri"/>
          <w:sz w:val="28"/>
          <w:szCs w:val="28"/>
          <w:lang w:eastAsia="en-US"/>
        </w:rPr>
      </w:pPr>
    </w:p>
    <w:p w14:paraId="531036B1" w14:textId="77777777" w:rsidR="00CA11FE" w:rsidRPr="00CA11FE" w:rsidRDefault="00CA11FE" w:rsidP="00CA11FE">
      <w:pPr>
        <w:widowControl w:val="0"/>
        <w:tabs>
          <w:tab w:val="left" w:pos="567"/>
        </w:tabs>
        <w:autoSpaceDE w:val="0"/>
        <w:autoSpaceDN w:val="0"/>
        <w:adjustRightInd w:val="0"/>
        <w:jc w:val="both"/>
        <w:rPr>
          <w:rFonts w:eastAsia="Calibri"/>
          <w:sz w:val="27"/>
          <w:szCs w:val="27"/>
          <w:lang w:eastAsia="en-US"/>
        </w:rPr>
      </w:pPr>
      <w:r w:rsidRPr="00CA11FE">
        <w:rPr>
          <w:rFonts w:eastAsia="Calibri"/>
          <w:b/>
          <w:bCs/>
          <w:color w:val="000000"/>
          <w:sz w:val="28"/>
          <w:szCs w:val="28"/>
          <w:lang w:eastAsia="en-US"/>
        </w:rPr>
        <w:tab/>
      </w:r>
      <w:r w:rsidRPr="00CA11FE">
        <w:rPr>
          <w:rFonts w:eastAsia="Calibri"/>
          <w:sz w:val="27"/>
          <w:szCs w:val="27"/>
          <w:lang w:eastAsia="en-US"/>
        </w:rPr>
        <w:t xml:space="preserve">На основании </w:t>
      </w:r>
      <w:hyperlink r:id="rId8" w:history="1">
        <w:r w:rsidRPr="00CA11FE">
          <w:rPr>
            <w:rFonts w:eastAsia="Calibri"/>
            <w:sz w:val="27"/>
            <w:szCs w:val="27"/>
            <w:lang w:eastAsia="en-US"/>
          </w:rPr>
          <w:t>пункта 7 статьи 8</w:t>
        </w:r>
      </w:hyperlink>
      <w:r w:rsidRPr="00CA11FE">
        <w:rPr>
          <w:rFonts w:eastAsia="Calibri"/>
          <w:sz w:val="27"/>
          <w:szCs w:val="27"/>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w:t>
      </w:r>
      <w:r w:rsidRPr="00CA11FE">
        <w:rPr>
          <w:sz w:val="27"/>
          <w:szCs w:val="27"/>
        </w:rPr>
        <w:t xml:space="preserve"> </w:t>
      </w:r>
      <w:r w:rsidRPr="00CA11FE">
        <w:rPr>
          <w:rFonts w:eastAsia="Calibri"/>
          <w:sz w:val="27"/>
          <w:szCs w:val="27"/>
          <w:lang w:eastAsia="en-US"/>
        </w:rPr>
        <w:t xml:space="preserve">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0" w:name="_Hlk19638358"/>
      <w:r w:rsidRPr="00CA11FE">
        <w:rPr>
          <w:rFonts w:eastAsia="Calibri"/>
          <w:sz w:val="27"/>
          <w:szCs w:val="27"/>
          <w:lang w:eastAsia="en-US"/>
        </w:rPr>
        <w:t xml:space="preserve">проекта постановления администрации Нюксенского муниципального округа «Об утверждении муниципальной программы </w:t>
      </w:r>
      <w:bookmarkEnd w:id="0"/>
      <w:r w:rsidRPr="00CA11FE">
        <w:rPr>
          <w:rFonts w:eastAsia="Calibri"/>
          <w:sz w:val="27"/>
          <w:szCs w:val="27"/>
          <w:lang w:eastAsia="en-US"/>
        </w:rPr>
        <w:t>«Обеспечение профилактики правонарушений, безопасности населения и территории Нюксенского муниципального округа» (далее – Проект постановления).</w:t>
      </w:r>
    </w:p>
    <w:p w14:paraId="300F14FF" w14:textId="77777777" w:rsidR="00CA11FE" w:rsidRPr="00CA11FE" w:rsidRDefault="00CA11FE" w:rsidP="00CA11FE">
      <w:pPr>
        <w:tabs>
          <w:tab w:val="left" w:pos="567"/>
        </w:tabs>
        <w:jc w:val="both"/>
        <w:rPr>
          <w:rFonts w:eastAsia="Calibri"/>
          <w:sz w:val="27"/>
          <w:szCs w:val="27"/>
          <w:lang w:eastAsia="en-US"/>
        </w:rPr>
      </w:pPr>
      <w:r w:rsidRPr="00CA11FE">
        <w:rPr>
          <w:rFonts w:eastAsia="Calibri"/>
          <w:color w:val="FF0000"/>
          <w:sz w:val="27"/>
          <w:szCs w:val="27"/>
          <w:lang w:eastAsia="en-US"/>
        </w:rPr>
        <w:tab/>
      </w:r>
      <w:r w:rsidRPr="00CA11FE">
        <w:rPr>
          <w:rFonts w:eastAsia="Calibri"/>
          <w:sz w:val="27"/>
          <w:szCs w:val="27"/>
          <w:lang w:eastAsia="en-US"/>
        </w:rPr>
        <w:t>В ходе проведения экспертизы и подготовки заключения контрольно-счетной комиссией проанализированы материалы, представленные администрацией Нюксенского муниципального округа (далее-администрация округа) (письмо от 03.10.2024 № 3763, входящий №54 от 22.10.2024):</w:t>
      </w:r>
    </w:p>
    <w:p w14:paraId="4DA5354E"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Проект постановления; </w:t>
      </w:r>
    </w:p>
    <w:p w14:paraId="55FAD3CA"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пояснительная записка к Проекту постановления администрации округа;</w:t>
      </w:r>
    </w:p>
    <w:p w14:paraId="129BE026"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Муниципальная программа «Обеспечение профилактики правонарушений, безопасности населения и территории Нюксенского муниципального округа»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00F2DDA3"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Ответственный исполнитель Программы-Отдел по мобилизационной работе, делам ГОЧС, защите государственной тайны администрации Нюксенского муниципального округа (далее – Отдел по мобилизационной работе, делам ГОЧС, защите государственной тайны администрация округа).</w:t>
      </w:r>
    </w:p>
    <w:p w14:paraId="002D62CD" w14:textId="77777777" w:rsidR="00CA11FE" w:rsidRPr="00CA11FE" w:rsidRDefault="00CA11FE" w:rsidP="00CA11FE">
      <w:pPr>
        <w:shd w:val="clear" w:color="auto" w:fill="FFFFFF"/>
        <w:ind w:firstLine="567"/>
        <w:jc w:val="both"/>
        <w:rPr>
          <w:rFonts w:eastAsia="Calibri"/>
          <w:sz w:val="27"/>
          <w:szCs w:val="27"/>
          <w:lang w:eastAsia="en-US"/>
        </w:rPr>
      </w:pPr>
      <w:r w:rsidRPr="00CA11FE">
        <w:rPr>
          <w:rFonts w:eastAsia="Calibri"/>
          <w:sz w:val="27"/>
          <w:szCs w:val="27"/>
          <w:lang w:eastAsia="en-US"/>
        </w:rPr>
        <w:t>Соисполнители Программы – Администрации Нюксенского муниципального округа.</w:t>
      </w:r>
    </w:p>
    <w:p w14:paraId="683408DF" w14:textId="77777777" w:rsidR="00CA11FE" w:rsidRPr="00CA11FE" w:rsidRDefault="00CA11FE" w:rsidP="00CA11FE">
      <w:pPr>
        <w:shd w:val="clear" w:color="auto" w:fill="FFFFFF"/>
        <w:ind w:firstLine="567"/>
        <w:jc w:val="both"/>
        <w:rPr>
          <w:rFonts w:eastAsia="Calibri"/>
          <w:sz w:val="27"/>
          <w:szCs w:val="27"/>
          <w:lang w:eastAsia="en-US"/>
        </w:rPr>
      </w:pPr>
      <w:r w:rsidRPr="00CA11FE">
        <w:rPr>
          <w:rFonts w:eastAsia="Calibri"/>
          <w:sz w:val="27"/>
          <w:szCs w:val="27"/>
          <w:lang w:eastAsia="en-US"/>
        </w:rPr>
        <w:t xml:space="preserve">Участники Программы – Отдел по мобилизационной работе, делам ГОЧС, защите государственной тайны администрация округа; Управление по обеспечению деятельности администрации округа; ЕДДС; Отдел культуры, спорта и молодежной </w:t>
      </w:r>
      <w:r w:rsidRPr="00CA11FE">
        <w:rPr>
          <w:rFonts w:eastAsia="Calibri"/>
          <w:sz w:val="27"/>
          <w:szCs w:val="27"/>
          <w:lang w:eastAsia="en-US"/>
        </w:rPr>
        <w:lastRenderedPageBreak/>
        <w:t>политики; Комиссия по делам несовершеннолетних и защите их прав; Управление образования администрации округа; Управление народнохозяйственного комплекса администрации округа; Межведомственная комиссия по вопросам адаптации и ресоциализации лиц, отбывших уголовное наказание в виде лишения свободы;  Межведомственная антинаркотическая комиссия; отделение Министерства внутренних дел Российской Федерации «Нюксенское» (по согласованию);  БУЗ ВО «Нюксенская ЦРБ» (по согласованию); Филиал по Нюксенскому округу Федеральное казенное учреждение уголовно-исполнительная инспекция Управления федеральной службы исполнения наказания РФ по Вологодской области (по согласованию); БУСО ВО «Комплексный центр социального обслуживания населения Нюксенского района» (по согласованию).</w:t>
      </w:r>
    </w:p>
    <w:p w14:paraId="2F453368" w14:textId="77777777" w:rsidR="00CA11FE" w:rsidRPr="00CA11FE" w:rsidRDefault="00CA11FE" w:rsidP="00CA11FE">
      <w:pPr>
        <w:shd w:val="clear" w:color="auto" w:fill="FFFFFF"/>
        <w:ind w:firstLine="567"/>
        <w:jc w:val="both"/>
        <w:rPr>
          <w:rFonts w:eastAsia="Calibri"/>
          <w:sz w:val="27"/>
          <w:szCs w:val="27"/>
          <w:lang w:eastAsia="en-US"/>
        </w:rPr>
      </w:pPr>
      <w:r w:rsidRPr="00CA11FE">
        <w:rPr>
          <w:rFonts w:eastAsia="Calibri"/>
          <w:sz w:val="27"/>
          <w:szCs w:val="27"/>
          <w:lang w:eastAsia="en-US"/>
        </w:rPr>
        <w:t>Разработка Программы осуществлена в рамках перечня муниципальных программ Нюксенского муниципального округа, утвержденного постановлением администрации Нюксенского муниципального округа от 04.07.2024 года №216 «Об утверждении Перечня муниципальных программ Нюксенского муниципального округа», (далее-Перечень № 216).</w:t>
      </w:r>
    </w:p>
    <w:p w14:paraId="0CD1E970"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6BF51A31"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округа на период до 2030 года, </w:t>
      </w:r>
      <w:bookmarkStart w:id="1" w:name="_Hlk175647025"/>
      <w:r w:rsidRPr="00CA11FE">
        <w:rPr>
          <w:rFonts w:eastAsia="Calibri"/>
          <w:sz w:val="27"/>
          <w:szCs w:val="27"/>
          <w:lang w:eastAsia="en-US"/>
        </w:rPr>
        <w:t xml:space="preserve">утвержденного решением Представительного Собрания Нюксенского муниципального района от 27.12.2018 №97. </w:t>
      </w:r>
    </w:p>
    <w:bookmarkEnd w:id="1"/>
    <w:p w14:paraId="34FAC5F5"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Объем финансовых средств на реализацию Программы за счет средств бюджета округа составит 46 149,2 тыс. рублей, </w:t>
      </w:r>
      <w:bookmarkStart w:id="2" w:name="_Hlk146624211"/>
      <w:r w:rsidRPr="00CA11FE">
        <w:rPr>
          <w:rFonts w:eastAsia="Calibri"/>
          <w:sz w:val="27"/>
          <w:szCs w:val="27"/>
          <w:lang w:eastAsia="en-US"/>
        </w:rPr>
        <w:t xml:space="preserve">в том числе за счет областного бюджета 12 459,6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 xml:space="preserve">, муниципального бюджета в сумме 33 689,6 </w:t>
      </w:r>
      <w:proofErr w:type="spellStart"/>
      <w:r w:rsidRPr="00CA11FE">
        <w:rPr>
          <w:rFonts w:eastAsia="Calibri"/>
          <w:sz w:val="27"/>
          <w:szCs w:val="27"/>
          <w:lang w:eastAsia="en-US"/>
        </w:rPr>
        <w:t>тыс.рублей</w:t>
      </w:r>
      <w:proofErr w:type="spellEnd"/>
      <w:r w:rsidRPr="00CA11FE">
        <w:rPr>
          <w:rFonts w:eastAsia="Calibri"/>
          <w:sz w:val="27"/>
          <w:szCs w:val="27"/>
          <w:lang w:eastAsia="en-US"/>
        </w:rPr>
        <w:t>, в том числе по годам реализации:</w:t>
      </w:r>
    </w:p>
    <w:p w14:paraId="13892119"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2025 год – 9 444,0 тыс. рублей, в том числе за счет областного бюджета 3 982,0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 xml:space="preserve">, муниципального бюджета в сумме 5 462,0 </w:t>
      </w:r>
      <w:proofErr w:type="spellStart"/>
      <w:r w:rsidRPr="00CA11FE">
        <w:rPr>
          <w:rFonts w:eastAsia="Calibri"/>
          <w:sz w:val="27"/>
          <w:szCs w:val="27"/>
          <w:lang w:eastAsia="en-US"/>
        </w:rPr>
        <w:t>тыс.рублей</w:t>
      </w:r>
      <w:proofErr w:type="spellEnd"/>
      <w:r w:rsidRPr="00CA11FE">
        <w:rPr>
          <w:rFonts w:eastAsia="Calibri"/>
          <w:sz w:val="27"/>
          <w:szCs w:val="27"/>
          <w:lang w:eastAsia="en-US"/>
        </w:rPr>
        <w:t>;</w:t>
      </w:r>
    </w:p>
    <w:bookmarkEnd w:id="2"/>
    <w:p w14:paraId="0EC76E70"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2026 год – 5 767,6 тыс. рублей, в том числе за счет областного бюджета 2 138,8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 xml:space="preserve">, муниципального бюджета в сумме 3 628,8 </w:t>
      </w:r>
      <w:proofErr w:type="spellStart"/>
      <w:r w:rsidRPr="00CA11FE">
        <w:rPr>
          <w:rFonts w:eastAsia="Calibri"/>
          <w:sz w:val="27"/>
          <w:szCs w:val="27"/>
          <w:lang w:eastAsia="en-US"/>
        </w:rPr>
        <w:t>тыс.рублей</w:t>
      </w:r>
      <w:proofErr w:type="spellEnd"/>
      <w:r w:rsidRPr="00CA11FE">
        <w:rPr>
          <w:rFonts w:eastAsia="Calibri"/>
          <w:sz w:val="27"/>
          <w:szCs w:val="27"/>
          <w:lang w:eastAsia="en-US"/>
        </w:rPr>
        <w:t>;</w:t>
      </w:r>
    </w:p>
    <w:p w14:paraId="13E47490"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2027 год – 18 067,6 тыс. рублей, в том числе за счет областного бюджета 2 138,8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 xml:space="preserve">, муниципального бюджета в сумме 15 928,8 </w:t>
      </w:r>
      <w:proofErr w:type="spellStart"/>
      <w:r w:rsidRPr="00CA11FE">
        <w:rPr>
          <w:rFonts w:eastAsia="Calibri"/>
          <w:sz w:val="27"/>
          <w:szCs w:val="27"/>
          <w:lang w:eastAsia="en-US"/>
        </w:rPr>
        <w:t>тыс.рублей</w:t>
      </w:r>
      <w:proofErr w:type="spellEnd"/>
      <w:r w:rsidRPr="00CA11FE">
        <w:rPr>
          <w:rFonts w:eastAsia="Calibri"/>
          <w:sz w:val="27"/>
          <w:szCs w:val="27"/>
          <w:lang w:eastAsia="en-US"/>
        </w:rPr>
        <w:t>;</w:t>
      </w:r>
    </w:p>
    <w:p w14:paraId="3E5882CB"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2028 год – 4 290,0 тыс. рублей, в том числе за счет областного бюджета 1 400,0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 xml:space="preserve">, муниципального бюджета в сумме 2 890,0 </w:t>
      </w:r>
      <w:proofErr w:type="spellStart"/>
      <w:r w:rsidRPr="00CA11FE">
        <w:rPr>
          <w:rFonts w:eastAsia="Calibri"/>
          <w:sz w:val="27"/>
          <w:szCs w:val="27"/>
          <w:lang w:eastAsia="en-US"/>
        </w:rPr>
        <w:t>тыс.рублей</w:t>
      </w:r>
      <w:proofErr w:type="spellEnd"/>
      <w:r w:rsidRPr="00CA11FE">
        <w:rPr>
          <w:rFonts w:eastAsia="Calibri"/>
          <w:sz w:val="27"/>
          <w:szCs w:val="27"/>
          <w:lang w:eastAsia="en-US"/>
        </w:rPr>
        <w:t>;</w:t>
      </w:r>
    </w:p>
    <w:p w14:paraId="649E6E5A"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2029 год – 4 290,0 тыс. рублей, в том числе за счет областного бюджета 1 400,0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 xml:space="preserve">, муниципального бюджета в сумме 2 890,0 </w:t>
      </w:r>
      <w:proofErr w:type="spellStart"/>
      <w:r w:rsidRPr="00CA11FE">
        <w:rPr>
          <w:rFonts w:eastAsia="Calibri"/>
          <w:sz w:val="27"/>
          <w:szCs w:val="27"/>
          <w:lang w:eastAsia="en-US"/>
        </w:rPr>
        <w:t>тыс.рублей</w:t>
      </w:r>
      <w:proofErr w:type="spellEnd"/>
      <w:r w:rsidRPr="00CA11FE">
        <w:rPr>
          <w:rFonts w:eastAsia="Calibri"/>
          <w:sz w:val="27"/>
          <w:szCs w:val="27"/>
          <w:lang w:eastAsia="en-US"/>
        </w:rPr>
        <w:t>;</w:t>
      </w:r>
    </w:p>
    <w:p w14:paraId="2CFC4CE9"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2030 год – 4 290,0 тыс. рублей, в том числе за счет областного бюджета 1 400,0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 xml:space="preserve">, муниципального бюджета в сумме 2 890,0 </w:t>
      </w:r>
      <w:proofErr w:type="spellStart"/>
      <w:r w:rsidRPr="00CA11FE">
        <w:rPr>
          <w:rFonts w:eastAsia="Calibri"/>
          <w:sz w:val="27"/>
          <w:szCs w:val="27"/>
          <w:lang w:eastAsia="en-US"/>
        </w:rPr>
        <w:t>тыс.рублей</w:t>
      </w:r>
      <w:proofErr w:type="spellEnd"/>
      <w:r w:rsidRPr="00CA11FE">
        <w:rPr>
          <w:rFonts w:eastAsia="Calibri"/>
          <w:sz w:val="27"/>
          <w:szCs w:val="27"/>
          <w:lang w:eastAsia="en-US"/>
        </w:rPr>
        <w:t>.</w:t>
      </w:r>
    </w:p>
    <w:p w14:paraId="661F54CB"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Подпрограммы Программы отсутствуют.</w:t>
      </w:r>
    </w:p>
    <w:p w14:paraId="5B04DAE4"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Установлена связь с государственной программой Вологодской области «Обеспечение профилактики правонарушений, безопасности населения на территории Вологодской области». </w:t>
      </w:r>
    </w:p>
    <w:p w14:paraId="644E534A"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Структура Программы содержит проектную и процессную часть.</w:t>
      </w:r>
    </w:p>
    <w:p w14:paraId="2BDE1E64"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lastRenderedPageBreak/>
        <w:t>Достижение целей и решения задач Программы осуществляется путем реализации мероприятий структурных элементов Программы:</w:t>
      </w:r>
    </w:p>
    <w:p w14:paraId="0340BA5F"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bookmarkStart w:id="3" w:name="_Hlk21083921"/>
      <w:r w:rsidRPr="00CA11FE">
        <w:rPr>
          <w:rFonts w:eastAsia="Calibri"/>
          <w:sz w:val="27"/>
          <w:szCs w:val="27"/>
          <w:lang w:eastAsia="en-US"/>
        </w:rPr>
        <w:t xml:space="preserve">1. Проект «Обеспечение общественной безопасности на территории Нюксенского муниципального округа», общий объем финансирования проекта 1 850,0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w:t>
      </w:r>
    </w:p>
    <w:p w14:paraId="653A9265"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2. Проект «Обеспечение пожарной безопасности на территории Нюксенского муниципального округа», общий объем финансирования проекта 24 219,2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w:t>
      </w:r>
    </w:p>
    <w:p w14:paraId="130F1C44"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Замечание: раздел 5 «Финансовое обеспечение» пункт 2 проект 2 финансовое обеспечение за счет областного бюджета суммарно составляет 7 609,6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 xml:space="preserve">, разница 0,4 </w:t>
      </w:r>
      <w:proofErr w:type="spellStart"/>
      <w:r w:rsidRPr="00CA11FE">
        <w:rPr>
          <w:rFonts w:eastAsia="Calibri"/>
          <w:sz w:val="27"/>
          <w:szCs w:val="27"/>
          <w:lang w:eastAsia="en-US"/>
        </w:rPr>
        <w:t>тыс.рублей</w:t>
      </w:r>
      <w:proofErr w:type="spellEnd"/>
      <w:r w:rsidRPr="00CA11FE">
        <w:rPr>
          <w:rFonts w:eastAsia="Calibri"/>
          <w:sz w:val="27"/>
          <w:szCs w:val="27"/>
          <w:lang w:eastAsia="en-US"/>
        </w:rPr>
        <w:t xml:space="preserve"> с данными паспорта приложения 3 к муниципальной программе.</w:t>
      </w:r>
    </w:p>
    <w:p w14:paraId="45BC1294"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3. Проект «Обеспечение сохранности материальных ценностей на территории Нюксенского муниципального округа», общий объем финансирования проекта 12 300,0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w:t>
      </w:r>
    </w:p>
    <w:p w14:paraId="5B21823E"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4. Реализация комплекса процессных мероприятий «Обеспечение общественной безопасности на территории Нюксенского муниципального округа», общий объем финансирования проекта 7 780,0 </w:t>
      </w:r>
      <w:proofErr w:type="spellStart"/>
      <w:proofErr w:type="gramStart"/>
      <w:r w:rsidRPr="00CA11FE">
        <w:rPr>
          <w:rFonts w:eastAsia="Calibri"/>
          <w:sz w:val="27"/>
          <w:szCs w:val="27"/>
          <w:lang w:eastAsia="en-US"/>
        </w:rPr>
        <w:t>тыс.рублей</w:t>
      </w:r>
      <w:proofErr w:type="spellEnd"/>
      <w:proofErr w:type="gramEnd"/>
      <w:r w:rsidRPr="00CA11FE">
        <w:rPr>
          <w:rFonts w:eastAsia="Calibri"/>
          <w:sz w:val="27"/>
          <w:szCs w:val="27"/>
          <w:lang w:eastAsia="en-US"/>
        </w:rPr>
        <w:t>.</w:t>
      </w:r>
    </w:p>
    <w:p w14:paraId="2F8E737E"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Структура и перечень мероприятий в целом соответствуют сфере реализации Программы.</w:t>
      </w:r>
    </w:p>
    <w:bookmarkEnd w:id="3"/>
    <w:p w14:paraId="06F182FE"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 xml:space="preserve">Целевые показатели Программы позволяют характеризовать достижение целей и решение задач Программы. </w:t>
      </w:r>
    </w:p>
    <w:p w14:paraId="7A3AF20F"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42651499" w14:textId="77777777" w:rsidR="00CA11FE" w:rsidRPr="00CA11FE" w:rsidRDefault="00CA11FE" w:rsidP="00CA11FE">
      <w:pPr>
        <w:widowControl w:val="0"/>
        <w:autoSpaceDE w:val="0"/>
        <w:autoSpaceDN w:val="0"/>
        <w:adjustRightInd w:val="0"/>
        <w:ind w:firstLine="540"/>
        <w:jc w:val="both"/>
        <w:rPr>
          <w:rFonts w:eastAsia="Calibri"/>
          <w:sz w:val="27"/>
          <w:szCs w:val="27"/>
          <w:lang w:eastAsia="en-US"/>
        </w:rPr>
      </w:pPr>
      <w:r w:rsidRPr="00CA11FE">
        <w:rPr>
          <w:rFonts w:eastAsia="Calibri"/>
          <w:sz w:val="27"/>
          <w:szCs w:val="27"/>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33E319DA" w14:textId="3AD401D5" w:rsidR="00471CF9" w:rsidRPr="00471CF9" w:rsidRDefault="00471CF9" w:rsidP="00CA11FE">
      <w:pPr>
        <w:autoSpaceDE w:val="0"/>
        <w:autoSpaceDN w:val="0"/>
        <w:adjustRightInd w:val="0"/>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3"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5"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20"/>
  </w:num>
  <w:num w:numId="2" w16cid:durableId="117452608">
    <w:abstractNumId w:val="12"/>
  </w:num>
  <w:num w:numId="3" w16cid:durableId="1482505488">
    <w:abstractNumId w:val="6"/>
  </w:num>
  <w:num w:numId="4" w16cid:durableId="1889220925">
    <w:abstractNumId w:val="2"/>
  </w:num>
  <w:num w:numId="5" w16cid:durableId="323120651">
    <w:abstractNumId w:val="16"/>
  </w:num>
  <w:num w:numId="6" w16cid:durableId="1056197142">
    <w:abstractNumId w:val="9"/>
  </w:num>
  <w:num w:numId="7" w16cid:durableId="1497840487">
    <w:abstractNumId w:val="14"/>
  </w:num>
  <w:num w:numId="8" w16cid:durableId="264967709">
    <w:abstractNumId w:val="3"/>
  </w:num>
  <w:num w:numId="9" w16cid:durableId="290286745">
    <w:abstractNumId w:val="7"/>
  </w:num>
  <w:num w:numId="10" w16cid:durableId="698240347">
    <w:abstractNumId w:val="26"/>
  </w:num>
  <w:num w:numId="11" w16cid:durableId="1100101546">
    <w:abstractNumId w:val="5"/>
  </w:num>
  <w:num w:numId="12" w16cid:durableId="628708139">
    <w:abstractNumId w:val="24"/>
  </w:num>
  <w:num w:numId="13" w16cid:durableId="814106637">
    <w:abstractNumId w:val="22"/>
  </w:num>
  <w:num w:numId="14" w16cid:durableId="1259754728">
    <w:abstractNumId w:val="25"/>
  </w:num>
  <w:num w:numId="15" w16cid:durableId="1677806706">
    <w:abstractNumId w:val="10"/>
  </w:num>
  <w:num w:numId="16" w16cid:durableId="298657470">
    <w:abstractNumId w:val="15"/>
  </w:num>
  <w:num w:numId="17" w16cid:durableId="1613172402">
    <w:abstractNumId w:val="0"/>
  </w:num>
  <w:num w:numId="18" w16cid:durableId="2054304275">
    <w:abstractNumId w:val="18"/>
  </w:num>
  <w:num w:numId="19" w16cid:durableId="419326851">
    <w:abstractNumId w:val="4"/>
  </w:num>
  <w:num w:numId="20" w16cid:durableId="712997888">
    <w:abstractNumId w:val="8"/>
  </w:num>
  <w:num w:numId="21" w16cid:durableId="1170171990">
    <w:abstractNumId w:val="11"/>
  </w:num>
  <w:num w:numId="22" w16cid:durableId="1457866846">
    <w:abstractNumId w:val="17"/>
  </w:num>
  <w:num w:numId="23" w16cid:durableId="426312366">
    <w:abstractNumId w:val="19"/>
  </w:num>
  <w:num w:numId="24" w16cid:durableId="1047679768">
    <w:abstractNumId w:val="27"/>
  </w:num>
  <w:num w:numId="25" w16cid:durableId="1348680704">
    <w:abstractNumId w:val="21"/>
  </w:num>
  <w:num w:numId="26" w16cid:durableId="1362703653">
    <w:abstractNumId w:val="23"/>
  </w:num>
  <w:num w:numId="27" w16cid:durableId="2015571565">
    <w:abstractNumId w:val="13"/>
  </w:num>
  <w:num w:numId="28" w16cid:durableId="376197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A11FE"/>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2024-07-26T12:43:00Z</cp:lastPrinted>
  <dcterms:created xsi:type="dcterms:W3CDTF">2024-10-29T08:47:00Z</dcterms:created>
  <dcterms:modified xsi:type="dcterms:W3CDTF">2024-10-29T09:24:00Z</dcterms:modified>
</cp:coreProperties>
</file>