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3E786BA0" w14:textId="77777777" w:rsidR="0064432D" w:rsidRPr="0064432D" w:rsidRDefault="0064432D" w:rsidP="0064432D">
      <w:pPr>
        <w:spacing w:line="240" w:lineRule="exact"/>
        <w:jc w:val="both"/>
        <w:rPr>
          <w:sz w:val="28"/>
          <w:szCs w:val="28"/>
        </w:rPr>
      </w:pPr>
      <w:bookmarkStart w:id="0" w:name="_Hlk125640611"/>
      <w:r w:rsidRPr="0064432D">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64432D">
        <w:rPr>
          <w:sz w:val="28"/>
          <w:szCs w:val="28"/>
        </w:rPr>
        <w:t>от 14.10.2019 № 305 «Об утверждении муниципальной программы</w:t>
      </w:r>
      <w:bookmarkStart w:id="2" w:name="_Hlk125638499"/>
      <w:r w:rsidRPr="0064432D">
        <w:rPr>
          <w:sz w:val="28"/>
          <w:szCs w:val="28"/>
        </w:rPr>
        <w:t xml:space="preserve"> «Совершенствование муниципального управления в Нюксенском муниципальном районе на 2020-2025 годы</w:t>
      </w:r>
      <w:bookmarkEnd w:id="2"/>
      <w:r w:rsidRPr="0064432D">
        <w:rPr>
          <w:sz w:val="28"/>
          <w:szCs w:val="28"/>
        </w:rPr>
        <w:t>»</w:t>
      </w:r>
    </w:p>
    <w:bookmarkEnd w:id="1"/>
    <w:p w14:paraId="2CC5B224" w14:textId="77777777" w:rsidR="0064432D" w:rsidRPr="0064432D" w:rsidRDefault="0064432D" w:rsidP="0064432D">
      <w:pPr>
        <w:spacing w:line="240" w:lineRule="exact"/>
        <w:jc w:val="both"/>
        <w:rPr>
          <w:sz w:val="28"/>
          <w:szCs w:val="28"/>
        </w:rPr>
      </w:pPr>
    </w:p>
    <w:p w14:paraId="374FE0D3" w14:textId="77777777" w:rsidR="0064432D" w:rsidRPr="0064432D" w:rsidRDefault="0064432D" w:rsidP="0064432D">
      <w:pPr>
        <w:widowControl w:val="0"/>
        <w:tabs>
          <w:tab w:val="left" w:pos="567"/>
        </w:tabs>
        <w:autoSpaceDE w:val="0"/>
        <w:autoSpaceDN w:val="0"/>
        <w:adjustRightInd w:val="0"/>
        <w:jc w:val="both"/>
        <w:rPr>
          <w:rFonts w:eastAsia="Calibri"/>
          <w:sz w:val="26"/>
          <w:szCs w:val="26"/>
          <w:lang w:eastAsia="en-US"/>
        </w:rPr>
      </w:pPr>
      <w:r w:rsidRPr="0064432D">
        <w:rPr>
          <w:rFonts w:eastAsia="Calibri"/>
          <w:b/>
          <w:bCs/>
          <w:color w:val="000000"/>
          <w:sz w:val="28"/>
          <w:szCs w:val="28"/>
          <w:lang w:eastAsia="en-US"/>
        </w:rPr>
        <w:tab/>
      </w:r>
      <w:r w:rsidRPr="0064432D">
        <w:rPr>
          <w:rFonts w:eastAsia="Calibri"/>
          <w:sz w:val="26"/>
          <w:szCs w:val="26"/>
          <w:lang w:eastAsia="en-US"/>
        </w:rPr>
        <w:t xml:space="preserve">На основании </w:t>
      </w:r>
      <w:hyperlink r:id="rId8" w:history="1">
        <w:r w:rsidRPr="0064432D">
          <w:rPr>
            <w:rFonts w:eastAsia="Calibri"/>
            <w:sz w:val="26"/>
            <w:szCs w:val="26"/>
            <w:lang w:eastAsia="en-US"/>
          </w:rPr>
          <w:t>пункта 7 статьи 8</w:t>
        </w:r>
      </w:hyperlink>
      <w:r w:rsidRPr="0064432D">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64432D">
        <w:rPr>
          <w:sz w:val="28"/>
          <w:szCs w:val="28"/>
        </w:rPr>
        <w:t xml:space="preserve"> </w:t>
      </w:r>
      <w:r w:rsidRPr="0064432D">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2023 год и плановый период 2024 и 2025 годов» от 15.12.2022 года №85;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0E70DF03" w14:textId="77777777" w:rsidR="0064432D" w:rsidRPr="0064432D" w:rsidRDefault="0064432D" w:rsidP="0064432D">
      <w:pPr>
        <w:widowControl w:val="0"/>
        <w:tabs>
          <w:tab w:val="left" w:pos="567"/>
        </w:tabs>
        <w:autoSpaceDE w:val="0"/>
        <w:autoSpaceDN w:val="0"/>
        <w:adjustRightInd w:val="0"/>
        <w:ind w:firstLine="567"/>
        <w:jc w:val="both"/>
        <w:rPr>
          <w:rFonts w:eastAsia="Calibri"/>
          <w:sz w:val="26"/>
          <w:szCs w:val="26"/>
          <w:lang w:eastAsia="en-US"/>
        </w:rPr>
      </w:pPr>
      <w:r w:rsidRPr="0064432D">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64432D">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64432D">
        <w:rPr>
          <w:rFonts w:eastAsia="Calibri"/>
          <w:sz w:val="26"/>
          <w:szCs w:val="26"/>
          <w:lang w:eastAsia="en-US"/>
        </w:rPr>
        <w:t>от 14.10.2019 № 305 «Об утверждении муниципальной программы «Совершенствование муниципального управления в Нюксенском муниципальном районе на 2020-2025 годы» (далее – Проект постановления).</w:t>
      </w:r>
    </w:p>
    <w:p w14:paraId="1B284032" w14:textId="77777777" w:rsidR="0064432D" w:rsidRPr="0064432D" w:rsidRDefault="0064432D" w:rsidP="0064432D">
      <w:pPr>
        <w:widowControl w:val="0"/>
        <w:tabs>
          <w:tab w:val="left" w:pos="567"/>
        </w:tabs>
        <w:autoSpaceDE w:val="0"/>
        <w:autoSpaceDN w:val="0"/>
        <w:adjustRightInd w:val="0"/>
        <w:jc w:val="both"/>
        <w:rPr>
          <w:rFonts w:eastAsia="Calibri"/>
          <w:sz w:val="26"/>
          <w:szCs w:val="26"/>
          <w:lang w:eastAsia="en-US"/>
        </w:rPr>
      </w:pPr>
      <w:r w:rsidRPr="0064432D">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Управлением по обеспечению деятельности администрации округа (далее-Управление по обеспечению деятельности): проект постановления администрации округа; пояснительная записка к Проекту постановления; входящий номер №6 от 15.01.2024 г (письмо исходящий номер №225 от 15.01.2024г).</w:t>
      </w:r>
    </w:p>
    <w:p w14:paraId="72338A4A" w14:textId="77777777" w:rsidR="0064432D" w:rsidRPr="0064432D" w:rsidRDefault="0064432D" w:rsidP="0064432D">
      <w:pPr>
        <w:widowControl w:val="0"/>
        <w:tabs>
          <w:tab w:val="left" w:pos="567"/>
        </w:tabs>
        <w:autoSpaceDE w:val="0"/>
        <w:autoSpaceDN w:val="0"/>
        <w:adjustRightInd w:val="0"/>
        <w:jc w:val="both"/>
        <w:rPr>
          <w:rFonts w:eastAsia="Calibri"/>
          <w:sz w:val="26"/>
          <w:szCs w:val="26"/>
          <w:lang w:eastAsia="en-US"/>
        </w:rPr>
      </w:pPr>
      <w:r w:rsidRPr="0064432D">
        <w:rPr>
          <w:rFonts w:eastAsia="Calibri"/>
          <w:sz w:val="26"/>
          <w:szCs w:val="26"/>
          <w:lang w:eastAsia="en-US"/>
        </w:rPr>
        <w:t xml:space="preserve">         В результате экспертизы установлено:</w:t>
      </w:r>
    </w:p>
    <w:p w14:paraId="3E4D27B4" w14:textId="77777777" w:rsidR="0064432D" w:rsidRPr="0064432D" w:rsidRDefault="0064432D" w:rsidP="0064432D">
      <w:pPr>
        <w:widowControl w:val="0"/>
        <w:tabs>
          <w:tab w:val="left" w:pos="567"/>
        </w:tabs>
        <w:autoSpaceDE w:val="0"/>
        <w:autoSpaceDN w:val="0"/>
        <w:adjustRightInd w:val="0"/>
        <w:jc w:val="both"/>
        <w:rPr>
          <w:rFonts w:eastAsia="Calibri"/>
          <w:sz w:val="26"/>
          <w:szCs w:val="26"/>
          <w:lang w:eastAsia="en-US"/>
        </w:rPr>
      </w:pPr>
      <w:r w:rsidRPr="0064432D">
        <w:rPr>
          <w:rFonts w:eastAsia="Calibri"/>
          <w:sz w:val="26"/>
          <w:szCs w:val="26"/>
          <w:lang w:eastAsia="en-US"/>
        </w:rPr>
        <w:t xml:space="preserve">         Изменения в Программу в 2024 году вносятся в первый раз.</w:t>
      </w:r>
    </w:p>
    <w:p w14:paraId="30F8F0BE"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r w:rsidRPr="0064432D">
        <w:rPr>
          <w:rFonts w:eastAsia="Calibri"/>
          <w:sz w:val="26"/>
          <w:szCs w:val="26"/>
          <w:lang w:eastAsia="en-US"/>
        </w:rPr>
        <w:t xml:space="preserve"> Согласно пояснительной записке к Проекту постановления вносятся изменения:</w:t>
      </w:r>
    </w:p>
    <w:p w14:paraId="59388662" w14:textId="77777777" w:rsidR="0064432D" w:rsidRPr="0064432D" w:rsidRDefault="0064432D" w:rsidP="0064432D">
      <w:pPr>
        <w:widowControl w:val="0"/>
        <w:numPr>
          <w:ilvl w:val="0"/>
          <w:numId w:val="42"/>
        </w:numPr>
        <w:autoSpaceDE w:val="0"/>
        <w:autoSpaceDN w:val="0"/>
        <w:adjustRightInd w:val="0"/>
        <w:spacing w:after="200" w:line="276" w:lineRule="auto"/>
        <w:ind w:left="0" w:firstLine="540"/>
        <w:contextualSpacing/>
        <w:jc w:val="both"/>
        <w:rPr>
          <w:rFonts w:eastAsia="Calibri"/>
          <w:sz w:val="26"/>
          <w:szCs w:val="26"/>
          <w:lang w:eastAsia="en-US"/>
        </w:rPr>
      </w:pPr>
      <w:r w:rsidRPr="0064432D">
        <w:rPr>
          <w:rFonts w:eastAsia="Calibri"/>
          <w:sz w:val="26"/>
          <w:szCs w:val="26"/>
          <w:lang w:eastAsia="en-US"/>
        </w:rPr>
        <w:t>название программы, изложено в новой редакции «Совершенствование муниципального управления в Нюксенском муниципальном округе».</w:t>
      </w:r>
    </w:p>
    <w:p w14:paraId="688843E0" w14:textId="77777777" w:rsidR="0064432D" w:rsidRPr="0064432D" w:rsidRDefault="0064432D" w:rsidP="0064432D">
      <w:pPr>
        <w:ind w:firstLine="567"/>
        <w:jc w:val="both"/>
        <w:rPr>
          <w:rFonts w:eastAsia="Calibri"/>
          <w:sz w:val="26"/>
          <w:szCs w:val="26"/>
          <w:lang w:eastAsia="en-US"/>
        </w:rPr>
      </w:pPr>
      <w:r w:rsidRPr="0064432D">
        <w:rPr>
          <w:rFonts w:eastAsia="Calibri"/>
          <w:sz w:val="26"/>
          <w:szCs w:val="26"/>
          <w:lang w:eastAsia="en-US"/>
        </w:rPr>
        <w:t>Структура программы не меняется, предусматривая реализацию 4 подпрограмм.</w:t>
      </w:r>
    </w:p>
    <w:p w14:paraId="4EA0E641"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r w:rsidRPr="0064432D">
        <w:rPr>
          <w:rFonts w:eastAsia="Calibri"/>
          <w:sz w:val="26"/>
          <w:szCs w:val="26"/>
          <w:lang w:eastAsia="en-US"/>
        </w:rPr>
        <w:t>Цель и задачи муниципальной программы не изменены.</w:t>
      </w:r>
    </w:p>
    <w:p w14:paraId="0DAE2B73"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r w:rsidRPr="0064432D">
        <w:rPr>
          <w:rFonts w:eastAsia="Calibri"/>
          <w:b/>
          <w:bCs/>
          <w:sz w:val="26"/>
          <w:szCs w:val="26"/>
          <w:lang w:eastAsia="en-US"/>
        </w:rPr>
        <w:t>2)</w:t>
      </w:r>
      <w:r w:rsidRPr="0064432D">
        <w:rPr>
          <w:rFonts w:eastAsia="Calibri"/>
          <w:sz w:val="26"/>
          <w:szCs w:val="26"/>
          <w:lang w:eastAsia="en-US"/>
        </w:rPr>
        <w:t xml:space="preserve"> Новые сроки и этапы реализации программы 2020-2026 годы.</w:t>
      </w:r>
    </w:p>
    <w:p w14:paraId="6DC59A77" w14:textId="77777777" w:rsidR="0064432D" w:rsidRPr="0064432D" w:rsidRDefault="0064432D" w:rsidP="0064432D">
      <w:pPr>
        <w:widowControl w:val="0"/>
        <w:autoSpaceDE w:val="0"/>
        <w:autoSpaceDN w:val="0"/>
        <w:adjustRightInd w:val="0"/>
        <w:ind w:firstLine="540"/>
        <w:jc w:val="both"/>
        <w:rPr>
          <w:sz w:val="26"/>
          <w:szCs w:val="26"/>
        </w:rPr>
      </w:pPr>
      <w:r w:rsidRPr="0064432D">
        <w:rPr>
          <w:b/>
          <w:bCs/>
          <w:sz w:val="26"/>
          <w:szCs w:val="26"/>
        </w:rPr>
        <w:t>3)</w:t>
      </w:r>
      <w:r w:rsidRPr="0064432D">
        <w:rPr>
          <w:sz w:val="26"/>
          <w:szCs w:val="26"/>
        </w:rPr>
        <w:t xml:space="preserve"> Ожидаемые конечные результатам реализации программы до 2026 года меняются следующим образом:</w:t>
      </w:r>
    </w:p>
    <w:tbl>
      <w:tblPr>
        <w:tblStyle w:val="7"/>
        <w:tblW w:w="0" w:type="auto"/>
        <w:tblLook w:val="04A0" w:firstRow="1" w:lastRow="0" w:firstColumn="1" w:lastColumn="0" w:noHBand="0" w:noVBand="1"/>
      </w:tblPr>
      <w:tblGrid>
        <w:gridCol w:w="4674"/>
        <w:gridCol w:w="4670"/>
      </w:tblGrid>
      <w:tr w:rsidR="0064432D" w:rsidRPr="0064432D" w14:paraId="3758BBCB" w14:textId="77777777" w:rsidTr="0083054E">
        <w:tc>
          <w:tcPr>
            <w:tcW w:w="4674" w:type="dxa"/>
          </w:tcPr>
          <w:p w14:paraId="50C3B034" w14:textId="77777777" w:rsidR="0064432D" w:rsidRPr="0064432D" w:rsidRDefault="0064432D" w:rsidP="0064432D">
            <w:pPr>
              <w:jc w:val="both"/>
              <w:rPr>
                <w:sz w:val="26"/>
                <w:szCs w:val="26"/>
              </w:rPr>
            </w:pPr>
            <w:r w:rsidRPr="0064432D">
              <w:rPr>
                <w:sz w:val="26"/>
                <w:szCs w:val="26"/>
              </w:rPr>
              <w:lastRenderedPageBreak/>
              <w:t xml:space="preserve">Планируемые изменения </w:t>
            </w:r>
            <w:r w:rsidRPr="0064432D">
              <w:rPr>
                <w:b/>
                <w:bCs/>
                <w:sz w:val="26"/>
                <w:szCs w:val="26"/>
              </w:rPr>
              <w:t>Проектом постановления</w:t>
            </w:r>
          </w:p>
        </w:tc>
        <w:tc>
          <w:tcPr>
            <w:tcW w:w="4670" w:type="dxa"/>
          </w:tcPr>
          <w:p w14:paraId="7E4BA729" w14:textId="77777777" w:rsidR="0064432D" w:rsidRPr="0064432D" w:rsidRDefault="0064432D" w:rsidP="0064432D">
            <w:pPr>
              <w:jc w:val="both"/>
              <w:rPr>
                <w:sz w:val="26"/>
                <w:szCs w:val="26"/>
              </w:rPr>
            </w:pPr>
            <w:r w:rsidRPr="0064432D">
              <w:rPr>
                <w:sz w:val="26"/>
                <w:szCs w:val="26"/>
              </w:rPr>
              <w:t>Действующее постановление №305 от 14.10.2019 года (редакция от 29.08.2023 №425)</w:t>
            </w:r>
          </w:p>
        </w:tc>
      </w:tr>
      <w:tr w:rsidR="0064432D" w:rsidRPr="0064432D" w14:paraId="004EED25" w14:textId="77777777" w:rsidTr="0083054E">
        <w:tc>
          <w:tcPr>
            <w:tcW w:w="4674" w:type="dxa"/>
          </w:tcPr>
          <w:p w14:paraId="622923CD" w14:textId="77777777" w:rsidR="0064432D" w:rsidRPr="0064432D" w:rsidRDefault="0064432D" w:rsidP="0064432D">
            <w:pPr>
              <w:tabs>
                <w:tab w:val="left" w:pos="372"/>
              </w:tabs>
              <w:ind w:left="33"/>
              <w:contextualSpacing/>
              <w:jc w:val="both"/>
              <w:rPr>
                <w:sz w:val="28"/>
                <w:szCs w:val="28"/>
              </w:rPr>
            </w:pPr>
            <w:r w:rsidRPr="0064432D">
              <w:rPr>
                <w:sz w:val="28"/>
                <w:szCs w:val="28"/>
              </w:rPr>
              <w:t xml:space="preserve">увеличение количества государственных и муниципальных услуг, предоставляемых на базе МФЦ </w:t>
            </w:r>
            <w:r w:rsidRPr="0064432D">
              <w:rPr>
                <w:b/>
                <w:bCs/>
                <w:sz w:val="28"/>
                <w:szCs w:val="28"/>
              </w:rPr>
              <w:t>к 2026 году до 4800 ед</w:t>
            </w:r>
            <w:r w:rsidRPr="0064432D">
              <w:rPr>
                <w:sz w:val="28"/>
                <w:szCs w:val="28"/>
              </w:rPr>
              <w:t>.</w:t>
            </w:r>
          </w:p>
        </w:tc>
        <w:tc>
          <w:tcPr>
            <w:tcW w:w="4670" w:type="dxa"/>
          </w:tcPr>
          <w:p w14:paraId="5F4F4D22" w14:textId="77777777" w:rsidR="0064432D" w:rsidRPr="0064432D" w:rsidRDefault="0064432D" w:rsidP="0064432D">
            <w:pPr>
              <w:tabs>
                <w:tab w:val="left" w:pos="372"/>
              </w:tabs>
              <w:ind w:left="33"/>
              <w:contextualSpacing/>
              <w:jc w:val="both"/>
              <w:rPr>
                <w:b/>
                <w:bCs/>
                <w:sz w:val="28"/>
                <w:szCs w:val="28"/>
              </w:rPr>
            </w:pPr>
            <w:r w:rsidRPr="0064432D">
              <w:rPr>
                <w:sz w:val="28"/>
                <w:szCs w:val="28"/>
              </w:rPr>
              <w:t xml:space="preserve">увеличение количества государственных и муниципальных услуг, предоставляемых на базе МФЦ </w:t>
            </w:r>
            <w:r w:rsidRPr="0064432D">
              <w:rPr>
                <w:b/>
                <w:bCs/>
                <w:sz w:val="28"/>
                <w:szCs w:val="28"/>
              </w:rPr>
              <w:t>к 2025 году до 4600 ед</w:t>
            </w:r>
            <w:r w:rsidRPr="0064432D">
              <w:rPr>
                <w:sz w:val="28"/>
                <w:szCs w:val="28"/>
              </w:rPr>
              <w:t>.</w:t>
            </w:r>
          </w:p>
        </w:tc>
      </w:tr>
    </w:tbl>
    <w:p w14:paraId="6EEC451C" w14:textId="77777777" w:rsidR="0064432D" w:rsidRPr="0064432D" w:rsidRDefault="0064432D" w:rsidP="0064432D">
      <w:pPr>
        <w:widowControl w:val="0"/>
        <w:autoSpaceDE w:val="0"/>
        <w:autoSpaceDN w:val="0"/>
        <w:adjustRightInd w:val="0"/>
        <w:jc w:val="both"/>
        <w:rPr>
          <w:rFonts w:eastAsia="Calibri"/>
          <w:sz w:val="26"/>
          <w:szCs w:val="26"/>
          <w:lang w:eastAsia="en-US"/>
        </w:rPr>
      </w:pPr>
    </w:p>
    <w:p w14:paraId="79242481" w14:textId="77777777" w:rsidR="0064432D" w:rsidRPr="0064432D" w:rsidRDefault="0064432D" w:rsidP="0064432D">
      <w:pPr>
        <w:widowControl w:val="0"/>
        <w:numPr>
          <w:ilvl w:val="0"/>
          <w:numId w:val="44"/>
        </w:numPr>
        <w:autoSpaceDE w:val="0"/>
        <w:autoSpaceDN w:val="0"/>
        <w:adjustRightInd w:val="0"/>
        <w:spacing w:after="200" w:line="276" w:lineRule="auto"/>
        <w:ind w:left="0" w:firstLine="567"/>
        <w:contextualSpacing/>
        <w:jc w:val="both"/>
        <w:rPr>
          <w:rFonts w:eastAsia="Calibri"/>
          <w:sz w:val="26"/>
          <w:szCs w:val="26"/>
          <w:lang w:eastAsia="en-US"/>
        </w:rPr>
      </w:pPr>
      <w:r w:rsidRPr="0064432D">
        <w:rPr>
          <w:rFonts w:eastAsia="Calibri"/>
          <w:sz w:val="26"/>
          <w:szCs w:val="26"/>
          <w:lang w:eastAsia="en-US"/>
        </w:rPr>
        <w:t xml:space="preserve">Изменения в Программу вносятся в части ресурсного обеспечения на 2023 год, текущий 2024 год и плановый период 2025-2026 годы. </w:t>
      </w:r>
    </w:p>
    <w:p w14:paraId="7A994F49"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Общий объем финансирования программы за счет средств округа увеличиваются на 65023,0 тыс. рублей и с учетом внесенных изменений</w:t>
      </w:r>
      <w:r w:rsidRPr="0064432D">
        <w:rPr>
          <w:rFonts w:eastAsia="Calibri"/>
          <w:b/>
          <w:bCs/>
          <w:sz w:val="26"/>
          <w:szCs w:val="26"/>
          <w:lang w:eastAsia="en-US"/>
        </w:rPr>
        <w:t xml:space="preserve"> </w:t>
      </w:r>
      <w:r w:rsidRPr="0064432D">
        <w:rPr>
          <w:rFonts w:eastAsia="Calibri"/>
          <w:sz w:val="26"/>
          <w:szCs w:val="26"/>
          <w:lang w:eastAsia="en-US"/>
        </w:rPr>
        <w:t>составит 299 568,6 тыс. рублей, в том числе по годам:</w:t>
      </w:r>
    </w:p>
    <w:p w14:paraId="6683AF69"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2020 год – 25632,8 тыс. рублей</w:t>
      </w:r>
    </w:p>
    <w:p w14:paraId="64ED2DC7"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 xml:space="preserve">2021 год – 28498,2 тыс. рублей, </w:t>
      </w:r>
    </w:p>
    <w:p w14:paraId="7A0214F0"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 xml:space="preserve">2022 год – 32251,9 тыс. рублей, </w:t>
      </w:r>
    </w:p>
    <w:p w14:paraId="3CEA3FBC"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 xml:space="preserve">2023 год – 49642,6 тыс. рублей, </w:t>
      </w:r>
    </w:p>
    <w:p w14:paraId="019BF594"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 xml:space="preserve">2024 год – 53615,4 тыс. рублей, </w:t>
      </w:r>
    </w:p>
    <w:p w14:paraId="5728DFEB"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2025 год – 54937,1 тыс. рублей,</w:t>
      </w:r>
    </w:p>
    <w:p w14:paraId="56231A34"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2026 год – 54990,6 тыс. рублей,</w:t>
      </w:r>
    </w:p>
    <w:p w14:paraId="1BB12E69"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r w:rsidRPr="0064432D">
        <w:rPr>
          <w:rFonts w:eastAsia="Calibri"/>
          <w:sz w:val="26"/>
          <w:szCs w:val="26"/>
          <w:lang w:eastAsia="en-US"/>
        </w:rPr>
        <w:t>В предложенном Проекте постановления в объемы финансирования муниципальной программы</w:t>
      </w:r>
      <w:r w:rsidRPr="0064432D">
        <w:rPr>
          <w:rFonts w:eastAsia="Calibri"/>
          <w:b/>
          <w:bCs/>
          <w:sz w:val="26"/>
          <w:szCs w:val="26"/>
          <w:lang w:eastAsia="en-US"/>
        </w:rPr>
        <w:t xml:space="preserve"> </w:t>
      </w:r>
      <w:r w:rsidRPr="0064432D">
        <w:rPr>
          <w:rFonts w:eastAsia="Calibri"/>
          <w:sz w:val="26"/>
          <w:szCs w:val="26"/>
          <w:lang w:eastAsia="en-US"/>
        </w:rPr>
        <w:t>«Информатизация Нюксенского муниципального округа» (далее – Программа)</w:t>
      </w:r>
      <w:r w:rsidRPr="0064432D">
        <w:rPr>
          <w:rFonts w:eastAsia="Calibri"/>
          <w:b/>
          <w:bCs/>
          <w:sz w:val="26"/>
          <w:szCs w:val="26"/>
          <w:lang w:eastAsia="en-US"/>
        </w:rPr>
        <w:t xml:space="preserve"> </w:t>
      </w:r>
      <w:r w:rsidRPr="0064432D">
        <w:rPr>
          <w:rFonts w:eastAsia="Calibri"/>
          <w:sz w:val="26"/>
          <w:szCs w:val="26"/>
          <w:lang w:eastAsia="en-US"/>
        </w:rPr>
        <w:t>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27.12.2023 № 114 «О внесении изменений и дополнений в решение Представительного Собрания Нюксенского муниципального округа от 15.12.2022 года № 85 «О бюджете Нюксенского муниципального округа на 2023 год и плановый период 2024 и 2025 годов» и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w:t>
      </w:r>
    </w:p>
    <w:p w14:paraId="774E2CBC"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r w:rsidRPr="0064432D">
        <w:rPr>
          <w:rFonts w:eastAsia="Calibri"/>
          <w:sz w:val="26"/>
          <w:szCs w:val="26"/>
          <w:lang w:eastAsia="en-US"/>
        </w:rPr>
        <w:t xml:space="preserve">Согласно пояснительной записке к Проекту постановления изменения касаются ресурсного обеспечения на реализацию муниципальной программы «Совершенствование муниципального управления в Нюксенском муниципальном районе на 2020-2025 годы» в 2023 году: финансирование уменьшается на сумму 2322,1 </w:t>
      </w:r>
      <w:proofErr w:type="spellStart"/>
      <w:r w:rsidRPr="0064432D">
        <w:rPr>
          <w:rFonts w:eastAsia="Calibri"/>
          <w:sz w:val="26"/>
          <w:szCs w:val="26"/>
          <w:lang w:eastAsia="en-US"/>
        </w:rPr>
        <w:t>тыс.рублей</w:t>
      </w:r>
      <w:proofErr w:type="spellEnd"/>
      <w:r w:rsidRPr="0064432D">
        <w:rPr>
          <w:rFonts w:eastAsia="Calibri"/>
          <w:sz w:val="26"/>
          <w:szCs w:val="26"/>
          <w:lang w:eastAsia="en-US"/>
        </w:rPr>
        <w:t xml:space="preserve">, в том числе на подпрограмму №1 «Развитие кадрового потенциала в Нюксенском муниципальном районе на 2020-2025 годы» увеличивается на 75,0 </w:t>
      </w:r>
      <w:proofErr w:type="spellStart"/>
      <w:r w:rsidRPr="0064432D">
        <w:rPr>
          <w:rFonts w:eastAsia="Calibri"/>
          <w:sz w:val="26"/>
          <w:szCs w:val="26"/>
          <w:lang w:eastAsia="en-US"/>
        </w:rPr>
        <w:t>тыс.рублей</w:t>
      </w:r>
      <w:proofErr w:type="spellEnd"/>
      <w:r w:rsidRPr="0064432D">
        <w:rPr>
          <w:rFonts w:eastAsia="Calibri"/>
          <w:sz w:val="26"/>
          <w:szCs w:val="26"/>
          <w:lang w:eastAsia="en-US"/>
        </w:rPr>
        <w:t xml:space="preserve"> (увеличение стипендии), уменьшается на подпрограмму №3 «Совершенствование процессов предоставления государственных и муниципальных услуг, в том числе на базе многофункционального центра предоставления услуг» на сумму 4089,6 </w:t>
      </w:r>
      <w:proofErr w:type="spellStart"/>
      <w:r w:rsidRPr="0064432D">
        <w:rPr>
          <w:rFonts w:eastAsia="Calibri"/>
          <w:sz w:val="26"/>
          <w:szCs w:val="26"/>
          <w:lang w:eastAsia="en-US"/>
        </w:rPr>
        <w:t>тыс.рублей</w:t>
      </w:r>
      <w:proofErr w:type="spellEnd"/>
      <w:r w:rsidRPr="0064432D">
        <w:rPr>
          <w:rFonts w:eastAsia="Calibri"/>
          <w:sz w:val="26"/>
          <w:szCs w:val="26"/>
          <w:lang w:eastAsia="en-US"/>
        </w:rPr>
        <w:t xml:space="preserve">, в связи с передачей несвойственных функций на администрацию округа, увеличением на сумму 1692,5 </w:t>
      </w:r>
      <w:proofErr w:type="spellStart"/>
      <w:r w:rsidRPr="0064432D">
        <w:rPr>
          <w:rFonts w:eastAsia="Calibri"/>
          <w:sz w:val="26"/>
          <w:szCs w:val="26"/>
          <w:lang w:eastAsia="en-US"/>
        </w:rPr>
        <w:t>тыс.рублей</w:t>
      </w:r>
      <w:proofErr w:type="spellEnd"/>
      <w:r w:rsidRPr="0064432D">
        <w:rPr>
          <w:rFonts w:eastAsia="Calibri"/>
          <w:sz w:val="26"/>
          <w:szCs w:val="26"/>
          <w:lang w:eastAsia="en-US"/>
        </w:rPr>
        <w:t xml:space="preserve"> подпрограммы №4 «Обеспечение реализации муниципальной программы «Совершенствование муниципального управления в Нюксенском муниципальном районе на 2020-2025 годы».</w:t>
      </w:r>
    </w:p>
    <w:p w14:paraId="0D172A27"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 xml:space="preserve">Также Контрольно-счетная комиссия отмечает, что представленные Управлением по обеспечению деятельностью информации документы не содержат </w:t>
      </w:r>
      <w:r w:rsidRPr="0064432D">
        <w:rPr>
          <w:rFonts w:eastAsia="Calibri"/>
          <w:sz w:val="26"/>
          <w:szCs w:val="26"/>
          <w:lang w:eastAsia="en-US"/>
        </w:rPr>
        <w:lastRenderedPageBreak/>
        <w:t>информации о том, как увеличение уровня финансирования программы в целом на 65023,0 тыс. рублей в текущем периоде 2023-2026 годы отразятся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4CB8C567"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4" w:name="_Hlk125635850"/>
      <w:r w:rsidRPr="0064432D">
        <w:rPr>
          <w:rFonts w:eastAsia="Calibri"/>
          <w:sz w:val="26"/>
          <w:szCs w:val="26"/>
          <w:lang w:eastAsia="en-US"/>
        </w:rPr>
        <w:t>в информационной-телекоммуникационной сети «Интернет»</w:t>
      </w:r>
      <w:bookmarkEnd w:id="4"/>
      <w:r w:rsidRPr="0064432D">
        <w:rPr>
          <w:rFonts w:eastAsia="Calibri"/>
          <w:sz w:val="26"/>
          <w:szCs w:val="26"/>
          <w:lang w:eastAsia="en-US"/>
        </w:rPr>
        <w:t>.</w:t>
      </w:r>
    </w:p>
    <w:p w14:paraId="6779D2D6" w14:textId="77777777" w:rsidR="0064432D" w:rsidRPr="0064432D" w:rsidRDefault="0064432D" w:rsidP="0064432D">
      <w:pPr>
        <w:autoSpaceDE w:val="0"/>
        <w:autoSpaceDN w:val="0"/>
        <w:adjustRightInd w:val="0"/>
        <w:ind w:firstLine="708"/>
        <w:jc w:val="both"/>
        <w:rPr>
          <w:rFonts w:eastAsia="Calibri"/>
          <w:sz w:val="26"/>
          <w:szCs w:val="26"/>
          <w:lang w:eastAsia="en-US"/>
        </w:rPr>
      </w:pPr>
      <w:r w:rsidRPr="0064432D">
        <w:rPr>
          <w:rFonts w:eastAsia="Calibri"/>
          <w:sz w:val="26"/>
          <w:szCs w:val="26"/>
          <w:lang w:eastAsia="en-US"/>
        </w:rPr>
        <w:t>Вместе с тем, по состоянию на 18.01.2024 года представленный проект Программы (с учетом изменений) Управление по обеспечению деятельности информации не размещен на официальном сайте администрации Нюксенского муниципального округа в информационной-телекоммуникационной сети «Интернет»</w:t>
      </w:r>
    </w:p>
    <w:p w14:paraId="479A5474"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r w:rsidRPr="0064432D">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06A6B186" w14:textId="77777777" w:rsidR="0064432D" w:rsidRPr="0064432D" w:rsidRDefault="0064432D" w:rsidP="0064432D">
      <w:pPr>
        <w:ind w:firstLine="708"/>
        <w:jc w:val="both"/>
        <w:rPr>
          <w:rFonts w:eastAsia="Calibri"/>
          <w:sz w:val="26"/>
          <w:szCs w:val="26"/>
          <w:lang w:eastAsia="en-US"/>
        </w:rPr>
      </w:pPr>
    </w:p>
    <w:bookmarkEnd w:id="0"/>
    <w:p w14:paraId="43F50AD1" w14:textId="77777777" w:rsidR="0064432D" w:rsidRPr="0064432D" w:rsidRDefault="0064432D" w:rsidP="0064432D">
      <w:pPr>
        <w:widowControl w:val="0"/>
        <w:autoSpaceDE w:val="0"/>
        <w:autoSpaceDN w:val="0"/>
        <w:adjustRightInd w:val="0"/>
        <w:ind w:firstLine="540"/>
        <w:jc w:val="both"/>
        <w:rPr>
          <w:rFonts w:eastAsia="Calibri"/>
          <w:b/>
          <w:bCs/>
          <w:sz w:val="26"/>
          <w:szCs w:val="26"/>
          <w:lang w:eastAsia="en-US"/>
        </w:rPr>
      </w:pPr>
    </w:p>
    <w:p w14:paraId="2AACC30D" w14:textId="77777777" w:rsidR="0064432D" w:rsidRPr="0064432D" w:rsidRDefault="0064432D" w:rsidP="0064432D">
      <w:pPr>
        <w:widowControl w:val="0"/>
        <w:autoSpaceDE w:val="0"/>
        <w:autoSpaceDN w:val="0"/>
        <w:adjustRightInd w:val="0"/>
        <w:ind w:firstLine="540"/>
        <w:jc w:val="both"/>
        <w:rPr>
          <w:rFonts w:eastAsia="Calibri"/>
          <w:sz w:val="26"/>
          <w:szCs w:val="26"/>
          <w:lang w:eastAsia="en-US"/>
        </w:rPr>
      </w:pPr>
    </w:p>
    <w:p w14:paraId="33E319DA" w14:textId="77777777" w:rsidR="00471CF9" w:rsidRPr="00471CF9" w:rsidRDefault="00471CF9" w:rsidP="005042B0">
      <w:pPr>
        <w:jc w:val="center"/>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3"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1"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2"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25"/>
  </w:num>
  <w:num w:numId="2" w16cid:durableId="2044209468">
    <w:abstractNumId w:val="36"/>
  </w:num>
  <w:num w:numId="3" w16cid:durableId="1677733923">
    <w:abstractNumId w:val="24"/>
  </w:num>
  <w:num w:numId="4" w16cid:durableId="262802833">
    <w:abstractNumId w:val="12"/>
  </w:num>
  <w:num w:numId="5" w16cid:durableId="348803022">
    <w:abstractNumId w:val="2"/>
  </w:num>
  <w:num w:numId="6" w16cid:durableId="47150083">
    <w:abstractNumId w:val="30"/>
  </w:num>
  <w:num w:numId="7" w16cid:durableId="1245409480">
    <w:abstractNumId w:val="17"/>
  </w:num>
  <w:num w:numId="8" w16cid:durableId="1658337395">
    <w:abstractNumId w:val="26"/>
  </w:num>
  <w:num w:numId="9" w16cid:durableId="1670674894">
    <w:abstractNumId w:val="5"/>
  </w:num>
  <w:num w:numId="10" w16cid:durableId="763766382">
    <w:abstractNumId w:val="14"/>
  </w:num>
  <w:num w:numId="11" w16cid:durableId="162405487">
    <w:abstractNumId w:val="42"/>
  </w:num>
  <w:num w:numId="12" w16cid:durableId="1351445057">
    <w:abstractNumId w:val="10"/>
  </w:num>
  <w:num w:numId="13" w16cid:durableId="341981738">
    <w:abstractNumId w:val="40"/>
  </w:num>
  <w:num w:numId="14" w16cid:durableId="1605461828">
    <w:abstractNumId w:val="39"/>
  </w:num>
  <w:num w:numId="15" w16cid:durableId="1776945738">
    <w:abstractNumId w:val="41"/>
  </w:num>
  <w:num w:numId="16" w16cid:durableId="673260902">
    <w:abstractNumId w:val="20"/>
  </w:num>
  <w:num w:numId="17" w16cid:durableId="1655337278">
    <w:abstractNumId w:val="27"/>
  </w:num>
  <w:num w:numId="18" w16cid:durableId="1993217827">
    <w:abstractNumId w:val="0"/>
  </w:num>
  <w:num w:numId="19" w16cid:durableId="2001763236">
    <w:abstractNumId w:val="32"/>
  </w:num>
  <w:num w:numId="20" w16cid:durableId="618873667">
    <w:abstractNumId w:val="8"/>
  </w:num>
  <w:num w:numId="21" w16cid:durableId="159084494">
    <w:abstractNumId w:val="15"/>
  </w:num>
  <w:num w:numId="22" w16cid:durableId="1111512360">
    <w:abstractNumId w:val="21"/>
  </w:num>
  <w:num w:numId="23" w16cid:durableId="1148861343">
    <w:abstractNumId w:val="31"/>
  </w:num>
  <w:num w:numId="24" w16cid:durableId="1730614503">
    <w:abstractNumId w:val="35"/>
  </w:num>
  <w:num w:numId="25" w16cid:durableId="863323967">
    <w:abstractNumId w:val="3"/>
  </w:num>
  <w:num w:numId="26" w16cid:durableId="92289658">
    <w:abstractNumId w:val="22"/>
  </w:num>
  <w:num w:numId="27" w16cid:durableId="263997548">
    <w:abstractNumId w:val="9"/>
  </w:num>
  <w:num w:numId="28" w16cid:durableId="646516128">
    <w:abstractNumId w:val="29"/>
  </w:num>
  <w:num w:numId="29" w16cid:durableId="1490756512">
    <w:abstractNumId w:val="43"/>
  </w:num>
  <w:num w:numId="30" w16cid:durableId="1619995084">
    <w:abstractNumId w:val="13"/>
  </w:num>
  <w:num w:numId="31" w16cid:durableId="838156416">
    <w:abstractNumId w:val="4"/>
  </w:num>
  <w:num w:numId="32" w16cid:durableId="566456227">
    <w:abstractNumId w:val="33"/>
  </w:num>
  <w:num w:numId="33" w16cid:durableId="275335731">
    <w:abstractNumId w:val="16"/>
  </w:num>
  <w:num w:numId="34" w16cid:durableId="1526864057">
    <w:abstractNumId w:val="11"/>
  </w:num>
  <w:num w:numId="35" w16cid:durableId="1300186942">
    <w:abstractNumId w:val="38"/>
  </w:num>
  <w:num w:numId="36" w16cid:durableId="1928882323">
    <w:abstractNumId w:val="6"/>
  </w:num>
  <w:num w:numId="37" w16cid:durableId="599333128">
    <w:abstractNumId w:val="19"/>
  </w:num>
  <w:num w:numId="38" w16cid:durableId="478619129">
    <w:abstractNumId w:val="1"/>
  </w:num>
  <w:num w:numId="39" w16cid:durableId="1283225375">
    <w:abstractNumId w:val="7"/>
  </w:num>
  <w:num w:numId="40" w16cid:durableId="1155102817">
    <w:abstractNumId w:val="34"/>
  </w:num>
  <w:num w:numId="41" w16cid:durableId="427695517">
    <w:abstractNumId w:val="37"/>
  </w:num>
  <w:num w:numId="42" w16cid:durableId="899831897">
    <w:abstractNumId w:val="28"/>
  </w:num>
  <w:num w:numId="43" w16cid:durableId="587232981">
    <w:abstractNumId w:val="18"/>
  </w:num>
  <w:num w:numId="44" w16cid:durableId="14914045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
    <w:name w:val="Основной текст (2)_"/>
    <w:basedOn w:val="a0"/>
    <w:link w:val="20"/>
    <w:rsid w:val="00E655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1">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2">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3">
    <w:name w:val="Body Text 2"/>
    <w:basedOn w:val="a"/>
    <w:link w:val="24"/>
    <w:uiPriority w:val="99"/>
    <w:semiHidden/>
    <w:rsid w:val="00471CF9"/>
    <w:pPr>
      <w:spacing w:after="120" w:line="480" w:lineRule="auto"/>
    </w:pPr>
    <w:rPr>
      <w:rFonts w:eastAsia="Calibri"/>
      <w:sz w:val="24"/>
      <w:szCs w:val="24"/>
    </w:rPr>
  </w:style>
  <w:style w:type="character" w:customStyle="1" w:styleId="24">
    <w:name w:val="Основной текст 2 Знак"/>
    <w:basedOn w:val="a0"/>
    <w:link w:val="23"/>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5">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2024-07-26T12:43:00Z</cp:lastPrinted>
  <dcterms:created xsi:type="dcterms:W3CDTF">2024-07-26T12:39:00Z</dcterms:created>
  <dcterms:modified xsi:type="dcterms:W3CDTF">2024-07-26T13:07:00Z</dcterms:modified>
</cp:coreProperties>
</file>