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54CB1AE9" w14:textId="77777777" w:rsidR="00E10633" w:rsidRDefault="00E10633" w:rsidP="001B736A">
      <w:pPr>
        <w:jc w:val="center"/>
        <w:rPr>
          <w:b/>
          <w:bCs/>
          <w:sz w:val="28"/>
          <w:szCs w:val="28"/>
        </w:rPr>
      </w:pPr>
    </w:p>
    <w:p w14:paraId="2B914DAF" w14:textId="77777777" w:rsidR="00E10633" w:rsidRPr="00E10633" w:rsidRDefault="00E10633" w:rsidP="00E10633">
      <w:pPr>
        <w:spacing w:line="240" w:lineRule="exact"/>
        <w:jc w:val="center"/>
        <w:rPr>
          <w:rFonts w:eastAsia="Calibri"/>
          <w:b/>
          <w:bCs/>
          <w:sz w:val="24"/>
          <w:szCs w:val="24"/>
          <w:lang w:eastAsia="en-US"/>
        </w:rPr>
      </w:pPr>
      <w:r w:rsidRPr="00E10633">
        <w:rPr>
          <w:rFonts w:eastAsia="Calibri"/>
          <w:b/>
          <w:bCs/>
          <w:sz w:val="24"/>
          <w:szCs w:val="24"/>
          <w:lang w:eastAsia="en-US"/>
        </w:rPr>
        <w:t>Анализ № 33-э</w:t>
      </w:r>
    </w:p>
    <w:p w14:paraId="005E0AEB" w14:textId="77777777" w:rsidR="00E10633" w:rsidRPr="00E10633" w:rsidRDefault="00E10633" w:rsidP="00E10633">
      <w:pPr>
        <w:spacing w:line="240" w:lineRule="exact"/>
        <w:jc w:val="center"/>
        <w:rPr>
          <w:rFonts w:eastAsia="Calibri"/>
          <w:b/>
          <w:bCs/>
          <w:sz w:val="24"/>
          <w:szCs w:val="24"/>
          <w:lang w:eastAsia="en-US"/>
        </w:rPr>
      </w:pPr>
      <w:r w:rsidRPr="00E10633">
        <w:rPr>
          <w:rFonts w:eastAsia="Calibri"/>
          <w:b/>
          <w:bCs/>
          <w:sz w:val="24"/>
          <w:szCs w:val="24"/>
          <w:lang w:eastAsia="en-US"/>
        </w:rPr>
        <w:t>отчета об исполнении бюджета Нюксенского муниципального округа</w:t>
      </w:r>
    </w:p>
    <w:p w14:paraId="32D592C4" w14:textId="77777777" w:rsidR="00E10633" w:rsidRPr="00E10633" w:rsidRDefault="00E10633" w:rsidP="00E10633">
      <w:pPr>
        <w:spacing w:line="240" w:lineRule="exact"/>
        <w:jc w:val="center"/>
        <w:rPr>
          <w:rFonts w:eastAsia="Calibri"/>
          <w:b/>
          <w:bCs/>
          <w:sz w:val="24"/>
          <w:szCs w:val="24"/>
          <w:lang w:eastAsia="en-US"/>
        </w:rPr>
      </w:pPr>
      <w:r w:rsidRPr="00E10633">
        <w:rPr>
          <w:rFonts w:eastAsia="Calibri"/>
          <w:b/>
          <w:bCs/>
          <w:sz w:val="24"/>
          <w:szCs w:val="24"/>
          <w:lang w:eastAsia="en-US"/>
        </w:rPr>
        <w:t>за 9 месяцев 2024 года</w:t>
      </w:r>
    </w:p>
    <w:p w14:paraId="466C484A" w14:textId="77777777" w:rsidR="00E10633" w:rsidRPr="00E10633" w:rsidRDefault="00E10633" w:rsidP="00E10633">
      <w:pPr>
        <w:spacing w:line="240" w:lineRule="exact"/>
        <w:jc w:val="center"/>
        <w:rPr>
          <w:rFonts w:eastAsia="Calibri"/>
          <w:b/>
          <w:bCs/>
          <w:sz w:val="24"/>
          <w:szCs w:val="24"/>
          <w:lang w:eastAsia="en-US"/>
        </w:rPr>
      </w:pPr>
    </w:p>
    <w:p w14:paraId="431E1400" w14:textId="77777777" w:rsidR="00E10633" w:rsidRPr="00E10633" w:rsidRDefault="00E10633" w:rsidP="00E10633">
      <w:pPr>
        <w:spacing w:line="240" w:lineRule="exact"/>
        <w:jc w:val="center"/>
        <w:rPr>
          <w:rFonts w:eastAsia="Calibri"/>
          <w:b/>
          <w:bCs/>
          <w:sz w:val="24"/>
          <w:szCs w:val="24"/>
          <w:lang w:eastAsia="en-US"/>
        </w:rPr>
      </w:pPr>
    </w:p>
    <w:p w14:paraId="73F22B06" w14:textId="77777777" w:rsidR="00E10633" w:rsidRPr="00E10633" w:rsidRDefault="00E10633" w:rsidP="00E10633">
      <w:pPr>
        <w:spacing w:line="240" w:lineRule="exact"/>
        <w:jc w:val="center"/>
        <w:rPr>
          <w:rFonts w:eastAsia="Calibri"/>
          <w:b/>
          <w:bCs/>
          <w:sz w:val="24"/>
          <w:szCs w:val="24"/>
          <w:lang w:eastAsia="en-US"/>
        </w:rPr>
      </w:pPr>
      <w:r w:rsidRPr="00E10633">
        <w:rPr>
          <w:rFonts w:eastAsia="Calibri"/>
          <w:b/>
          <w:bCs/>
          <w:sz w:val="24"/>
          <w:szCs w:val="24"/>
          <w:lang w:eastAsia="en-US"/>
        </w:rPr>
        <w:t>12 ноября 2024 года                                                                                               с. Нюксеница</w:t>
      </w:r>
    </w:p>
    <w:p w14:paraId="2C697C04" w14:textId="77777777" w:rsidR="00E10633" w:rsidRPr="00E10633" w:rsidRDefault="00E10633" w:rsidP="00E10633">
      <w:pPr>
        <w:jc w:val="both"/>
        <w:rPr>
          <w:rFonts w:eastAsia="Calibri"/>
          <w:b/>
          <w:bCs/>
          <w:sz w:val="24"/>
          <w:szCs w:val="24"/>
          <w:lang w:eastAsia="en-US"/>
        </w:rPr>
      </w:pPr>
    </w:p>
    <w:p w14:paraId="0E74745F" w14:textId="77777777" w:rsidR="00E10633" w:rsidRPr="00E10633" w:rsidRDefault="00E10633" w:rsidP="00E10633">
      <w:pPr>
        <w:spacing w:line="240" w:lineRule="exact"/>
        <w:ind w:firstLine="709"/>
        <w:jc w:val="center"/>
        <w:rPr>
          <w:rFonts w:eastAsia="Calibri"/>
          <w:b/>
          <w:bCs/>
          <w:sz w:val="24"/>
          <w:szCs w:val="24"/>
          <w:lang w:eastAsia="en-US"/>
        </w:rPr>
      </w:pPr>
      <w:r w:rsidRPr="00E10633">
        <w:rPr>
          <w:rFonts w:eastAsia="Calibri"/>
          <w:b/>
          <w:bCs/>
          <w:sz w:val="24"/>
          <w:szCs w:val="24"/>
          <w:lang w:eastAsia="en-US"/>
        </w:rPr>
        <w:t xml:space="preserve">Основные показатели, характеризующие исполнение бюджета округа </w:t>
      </w:r>
    </w:p>
    <w:p w14:paraId="24A123B9" w14:textId="77777777" w:rsidR="00E10633" w:rsidRPr="00E10633" w:rsidRDefault="00E10633" w:rsidP="00E10633">
      <w:pPr>
        <w:spacing w:line="240" w:lineRule="exact"/>
        <w:ind w:firstLine="709"/>
        <w:jc w:val="center"/>
        <w:rPr>
          <w:rFonts w:eastAsia="Calibri"/>
          <w:sz w:val="24"/>
          <w:szCs w:val="24"/>
          <w:lang w:eastAsia="en-US"/>
        </w:rPr>
      </w:pPr>
      <w:r w:rsidRPr="00E10633">
        <w:rPr>
          <w:rFonts w:eastAsia="Calibri"/>
          <w:b/>
          <w:bCs/>
          <w:sz w:val="24"/>
          <w:szCs w:val="24"/>
          <w:lang w:eastAsia="en-US"/>
        </w:rPr>
        <w:t>за 9 месяцев 2024 года</w:t>
      </w:r>
    </w:p>
    <w:p w14:paraId="54E4476C" w14:textId="77777777" w:rsidR="00E10633" w:rsidRPr="00E10633" w:rsidRDefault="00E10633" w:rsidP="00E10633">
      <w:pPr>
        <w:ind w:firstLine="709"/>
        <w:jc w:val="center"/>
        <w:rPr>
          <w:rFonts w:eastAsia="Calibri"/>
          <w:b/>
          <w:bCs/>
          <w:sz w:val="24"/>
          <w:szCs w:val="24"/>
          <w:lang w:eastAsia="en-US"/>
        </w:rPr>
      </w:pPr>
    </w:p>
    <w:p w14:paraId="5494E48F" w14:textId="77777777" w:rsidR="00E10633" w:rsidRPr="00E10633" w:rsidRDefault="00E10633" w:rsidP="00E10633">
      <w:pPr>
        <w:ind w:firstLine="709"/>
        <w:jc w:val="both"/>
        <w:rPr>
          <w:sz w:val="24"/>
          <w:szCs w:val="24"/>
        </w:rPr>
      </w:pPr>
      <w:r w:rsidRPr="00E10633">
        <w:rPr>
          <w:sz w:val="24"/>
          <w:szCs w:val="24"/>
        </w:rPr>
        <w:t>По данным Отчета по сравнению с аналогичным периодом 2023 года доходы исполнены на 70 процентов ( или на 333610,8</w:t>
      </w:r>
      <w:r w:rsidRPr="00E10633">
        <w:rPr>
          <w:rFonts w:eastAsia="Calibri"/>
          <w:sz w:val="24"/>
          <w:szCs w:val="24"/>
          <w:lang w:eastAsia="en-US"/>
        </w:rPr>
        <w:t xml:space="preserve"> тыс. рублей) </w:t>
      </w:r>
      <w:r w:rsidRPr="00E10633">
        <w:rPr>
          <w:sz w:val="24"/>
          <w:szCs w:val="24"/>
        </w:rPr>
        <w:t>и составили 810 611,4 тыс. рублей или 48,8 процента от уточненных плановых назначений на 2024 год (для сравнения – за 9 месяцев 2023 года исполнение годовых плановых назначений составило 49,2 процента).</w:t>
      </w:r>
    </w:p>
    <w:p w14:paraId="6F11121F" w14:textId="77777777" w:rsidR="00E10633" w:rsidRPr="00E10633" w:rsidRDefault="00E10633" w:rsidP="00E10633">
      <w:pPr>
        <w:ind w:firstLine="709"/>
        <w:jc w:val="both"/>
        <w:rPr>
          <w:sz w:val="24"/>
          <w:szCs w:val="28"/>
        </w:rPr>
      </w:pPr>
      <w:r w:rsidRPr="00E10633">
        <w:rPr>
          <w:sz w:val="24"/>
          <w:szCs w:val="28"/>
        </w:rPr>
        <w:t xml:space="preserve">Расходы бюджета округа за 9 месяцев 2024 года по отношению к 9 месяцам 2023 года увеличились на 351 823,1 тыс. рублей (на 77,9 процента) и составили 803 549,5 тыс. рублей или 47,8 процент годовых плановых назначений (для сравнения – за 9 месяцев 2023 года исполнение составило 46,2 процента). </w:t>
      </w:r>
    </w:p>
    <w:p w14:paraId="7CF116BC" w14:textId="77777777" w:rsidR="00E10633" w:rsidRPr="00E10633" w:rsidRDefault="00E10633" w:rsidP="00E10633">
      <w:pPr>
        <w:ind w:firstLine="709"/>
        <w:jc w:val="both"/>
        <w:rPr>
          <w:sz w:val="24"/>
          <w:szCs w:val="28"/>
        </w:rPr>
      </w:pPr>
      <w:r w:rsidRPr="00E10633">
        <w:rPr>
          <w:sz w:val="24"/>
          <w:szCs w:val="28"/>
        </w:rPr>
        <w:t xml:space="preserve">В результате за 9 месяцев 2024 года бюджет исполнен с профицитом в сумме 7 061,9 тыс. рублей, при запланированном дефиците бюджета округа на 2024 год 4 275,1 тыс. рублей. </w:t>
      </w:r>
    </w:p>
    <w:p w14:paraId="50053D05" w14:textId="77777777" w:rsidR="00E10633" w:rsidRPr="00E10633" w:rsidRDefault="00E10633" w:rsidP="00E10633">
      <w:pPr>
        <w:ind w:firstLine="709"/>
        <w:jc w:val="both"/>
        <w:rPr>
          <w:rFonts w:eastAsia="Calibri"/>
          <w:sz w:val="24"/>
          <w:szCs w:val="24"/>
          <w:lang w:eastAsia="en-US"/>
        </w:rPr>
      </w:pPr>
      <w:r w:rsidRPr="00E10633">
        <w:rPr>
          <w:rFonts w:eastAsia="Calibri"/>
          <w:b/>
          <w:bCs/>
          <w:sz w:val="24"/>
          <w:szCs w:val="24"/>
          <w:lang w:eastAsia="en-US"/>
        </w:rPr>
        <w:t>Дебиторская задолженность</w:t>
      </w:r>
      <w:r w:rsidRPr="00E10633">
        <w:rPr>
          <w:rFonts w:eastAsia="Calibri"/>
          <w:sz w:val="24"/>
          <w:szCs w:val="24"/>
          <w:lang w:eastAsia="en-US"/>
        </w:rPr>
        <w:t xml:space="preserve"> на 01.01.2024 года составляла 2 195 719,7 тыс. рублей, по сравнению с данными на 01.01.2023 года задолженность увеличилась на 484 841,4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w:t>
      </w:r>
    </w:p>
    <w:p w14:paraId="7402CC51" w14:textId="77777777" w:rsidR="00E10633" w:rsidRPr="00E10633" w:rsidRDefault="00E10633" w:rsidP="00E10633">
      <w:pPr>
        <w:ind w:firstLine="709"/>
        <w:jc w:val="both"/>
        <w:rPr>
          <w:rFonts w:eastAsia="Calibri"/>
          <w:sz w:val="24"/>
          <w:szCs w:val="24"/>
          <w:lang w:eastAsia="en-US"/>
        </w:rPr>
      </w:pPr>
      <w:r w:rsidRPr="00E10633">
        <w:rPr>
          <w:rFonts w:eastAsia="Calibri"/>
          <w:sz w:val="24"/>
          <w:szCs w:val="24"/>
          <w:lang w:eastAsia="en-US"/>
        </w:rPr>
        <w:t xml:space="preserve">По состоянию на 01.10.2024 г. дебиторская задолженность составляет 2 205 588,8 тыс. рублей и увеличилась на 0,5 процента или на 9 869,1 по сравнению с началом года, а в сравнении с аналогичным отчетным периодом 2023 года увеличилась на 11,8 процента или 231 940,4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(1 973 648,4 </w:t>
      </w:r>
      <w:proofErr w:type="spellStart"/>
      <w:r w:rsidRPr="00E10633">
        <w:rPr>
          <w:rFonts w:eastAsia="Calibri"/>
          <w:sz w:val="24"/>
          <w:szCs w:val="24"/>
          <w:lang w:eastAsia="en-US"/>
        </w:rPr>
        <w:t>тс.рублей</w:t>
      </w:r>
      <w:proofErr w:type="spellEnd"/>
      <w:r w:rsidRPr="00E10633">
        <w:rPr>
          <w:rFonts w:eastAsia="Calibri"/>
          <w:sz w:val="24"/>
          <w:szCs w:val="24"/>
          <w:lang w:eastAsia="en-US"/>
        </w:rPr>
        <w:t xml:space="preserve">).  </w:t>
      </w:r>
    </w:p>
    <w:p w14:paraId="2A654806" w14:textId="77777777" w:rsidR="00E10633" w:rsidRPr="00E10633" w:rsidRDefault="00E10633" w:rsidP="00E10633">
      <w:pPr>
        <w:ind w:firstLine="709"/>
        <w:jc w:val="both"/>
        <w:rPr>
          <w:rFonts w:eastAsia="Calibri"/>
          <w:sz w:val="24"/>
          <w:szCs w:val="24"/>
          <w:lang w:eastAsia="en-US"/>
        </w:rPr>
      </w:pPr>
      <w:r w:rsidRPr="00E10633">
        <w:rPr>
          <w:rFonts w:eastAsia="Calibri"/>
          <w:b/>
          <w:bCs/>
          <w:sz w:val="24"/>
          <w:szCs w:val="24"/>
          <w:lang w:eastAsia="en-US"/>
        </w:rPr>
        <w:t>Просроченная дебиторская задолженность</w:t>
      </w:r>
      <w:r w:rsidRPr="00E10633">
        <w:rPr>
          <w:rFonts w:eastAsia="Calibri"/>
          <w:sz w:val="24"/>
          <w:szCs w:val="24"/>
          <w:lang w:eastAsia="en-US"/>
        </w:rPr>
        <w:t xml:space="preserve"> по состоянию на 01.10.2024 г. составила 888,9 тыс. рублей, из них 512,3 задолженность населения по договорам социального найма жилых помещений. По сравнению с аналогичным периодом прошлого года просроченная задолженность уменьшилась на 57,8 тыс. рублей. Отмечаем, что просроченная дебиторская задолженность населения по договорам социального найма жилых помещений увеличилась по сравнению с аналогичным периодом 2023 года на 29,9 процента или на 117,8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что свидетельствует о низкой претензионной работе Комитета земельно-имущественных отношений администрации округа.</w:t>
      </w:r>
    </w:p>
    <w:p w14:paraId="2139C259" w14:textId="35668BBB" w:rsidR="00E10633" w:rsidRPr="00E10633" w:rsidRDefault="00E10633" w:rsidP="00E10633">
      <w:pPr>
        <w:tabs>
          <w:tab w:val="num" w:pos="720"/>
        </w:tabs>
        <w:ind w:firstLine="709"/>
        <w:jc w:val="both"/>
        <w:rPr>
          <w:rFonts w:eastAsia="Calibri"/>
          <w:sz w:val="24"/>
          <w:szCs w:val="24"/>
          <w:lang w:eastAsia="en-US"/>
        </w:rPr>
      </w:pPr>
      <w:r w:rsidRPr="00E10633">
        <w:rPr>
          <w:rFonts w:eastAsia="Calibri"/>
          <w:sz w:val="24"/>
          <w:szCs w:val="24"/>
          <w:lang w:eastAsia="en-US"/>
        </w:rPr>
        <w:t xml:space="preserve">По состоянию на 1 января 2024 года </w:t>
      </w:r>
      <w:r w:rsidRPr="00E10633">
        <w:rPr>
          <w:rFonts w:eastAsia="Calibri"/>
          <w:b/>
          <w:bCs/>
          <w:sz w:val="24"/>
          <w:szCs w:val="24"/>
          <w:lang w:eastAsia="en-US"/>
        </w:rPr>
        <w:t>кредиторская задолженность</w:t>
      </w:r>
      <w:r w:rsidRPr="00E10633">
        <w:rPr>
          <w:rFonts w:eastAsia="Calibri"/>
          <w:sz w:val="24"/>
          <w:szCs w:val="24"/>
          <w:lang w:eastAsia="en-US"/>
        </w:rPr>
        <w:t xml:space="preserve"> составляла 18 708,1 тыс. рублей, по сравнению с предыдущим периодом на 01.01.2023 года задолженность увеличилась на 39,2 процента или на 5261,4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Общий объем кредиторской задолженности на 01.10.2024 года составил 39 031,2 тыс. рублей, в том числе просроченная 0,0 тыс. рублей, по сравнению с отчетным периодом прошлого года на 01.10.2023 года задолженность увеличилась на 25 888,5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а также за период с начала текущего года кредиторская задолженность увеличилась на 20 323,1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В пояснительной записке к отчету об исполнении бюджета отсутствуют причины роста кредиторской задолженности.</w:t>
      </w:r>
    </w:p>
    <w:p w14:paraId="031A3E44" w14:textId="77777777" w:rsidR="00E10633" w:rsidRPr="00E10633" w:rsidRDefault="00E10633" w:rsidP="00E10633">
      <w:pPr>
        <w:autoSpaceDE w:val="0"/>
        <w:autoSpaceDN w:val="0"/>
        <w:adjustRightInd w:val="0"/>
        <w:spacing w:line="228" w:lineRule="auto"/>
        <w:ind w:firstLine="567"/>
        <w:jc w:val="both"/>
        <w:rPr>
          <w:sz w:val="24"/>
          <w:szCs w:val="24"/>
        </w:rPr>
      </w:pPr>
      <w:r w:rsidRPr="00E10633">
        <w:rPr>
          <w:rFonts w:eastAsia="Calibri"/>
          <w:sz w:val="24"/>
          <w:szCs w:val="24"/>
          <w:lang w:eastAsia="en-US"/>
        </w:rPr>
        <w:t>Общий объем расходов на финансирование 20 муниципальных программ за 9 месяцев 2024 года произведен на сумму 801 555,4 тыс. рублей, что составляет 47,7 процента от годовых назначений (1 680 202,9 тыс. рублей).</w:t>
      </w:r>
      <w:r w:rsidRPr="00E10633">
        <w:rPr>
          <w:sz w:val="24"/>
          <w:szCs w:val="24"/>
        </w:rPr>
        <w:t xml:space="preserve"> Доля муниципальных программ в общем объеме расходов бюджета за 9 месяцев 2024 года составляет 99,8%.</w:t>
      </w:r>
    </w:p>
    <w:p w14:paraId="20D3745F" w14:textId="77777777" w:rsidR="00E10633" w:rsidRPr="00E10633" w:rsidRDefault="00E10633" w:rsidP="00E10633">
      <w:pPr>
        <w:ind w:firstLine="540"/>
        <w:jc w:val="both"/>
        <w:rPr>
          <w:sz w:val="24"/>
          <w:szCs w:val="24"/>
        </w:rPr>
      </w:pPr>
      <w:r w:rsidRPr="00E10633">
        <w:rPr>
          <w:sz w:val="24"/>
          <w:szCs w:val="24"/>
        </w:rPr>
        <w:t xml:space="preserve">Результативность бюджетных расходов округа определяется как соотношение между результатами деятельности округа и расходами на их достижение, а также степенью достижения планируемых результатов деятельности округа. </w:t>
      </w:r>
    </w:p>
    <w:p w14:paraId="6B2426CB" w14:textId="77777777" w:rsidR="00E10633" w:rsidRPr="00E10633" w:rsidRDefault="00E10633" w:rsidP="00E10633">
      <w:pPr>
        <w:ind w:firstLine="540"/>
        <w:jc w:val="both"/>
        <w:rPr>
          <w:sz w:val="24"/>
          <w:szCs w:val="24"/>
        </w:rPr>
      </w:pPr>
      <w:r w:rsidRPr="00E10633">
        <w:rPr>
          <w:sz w:val="24"/>
          <w:szCs w:val="24"/>
        </w:rPr>
        <w:lastRenderedPageBreak/>
        <w:t>На данном этапе исполнения бюджета округа за 9 месяцев 2024 года результативность расходов округа в рамках исполнения муниципальных программ можно оценить как неудовлетворительную, так как процент исполнения менее 75 процентов (факт 47,7 процент).</w:t>
      </w:r>
    </w:p>
    <w:p w14:paraId="64F1391F" w14:textId="77777777" w:rsidR="00E10633" w:rsidRPr="00E10633" w:rsidRDefault="00E10633" w:rsidP="00E10633">
      <w:pPr>
        <w:ind w:firstLine="540"/>
        <w:jc w:val="both"/>
        <w:rPr>
          <w:sz w:val="24"/>
          <w:szCs w:val="24"/>
        </w:rPr>
      </w:pPr>
      <w:r w:rsidRPr="00E10633">
        <w:rPr>
          <w:sz w:val="24"/>
          <w:szCs w:val="24"/>
        </w:rPr>
        <w:t>Кассовое исполнение расходных бюджетных обязательств выше среднего процента исполнения обеспечено по 5 программа,</w:t>
      </w:r>
      <w:r w:rsidRPr="00E10633">
        <w:rPr>
          <w:b/>
          <w:bCs/>
          <w:sz w:val="24"/>
          <w:szCs w:val="24"/>
        </w:rPr>
        <w:t xml:space="preserve"> </w:t>
      </w:r>
      <w:r w:rsidRPr="00E10633">
        <w:rPr>
          <w:sz w:val="24"/>
          <w:szCs w:val="24"/>
        </w:rPr>
        <w:t>из них:</w:t>
      </w:r>
      <w:r w:rsidRPr="00E10633">
        <w:rPr>
          <w:b/>
          <w:bCs/>
          <w:sz w:val="24"/>
          <w:szCs w:val="24"/>
        </w:rPr>
        <w:t xml:space="preserve"> </w:t>
      </w:r>
    </w:p>
    <w:p w14:paraId="15295260" w14:textId="77777777" w:rsidR="00E10633" w:rsidRPr="00E10633" w:rsidRDefault="00E10633" w:rsidP="00E10633">
      <w:pPr>
        <w:ind w:firstLine="567"/>
        <w:jc w:val="both"/>
        <w:rPr>
          <w:sz w:val="24"/>
          <w:szCs w:val="24"/>
        </w:rPr>
      </w:pPr>
      <w:r w:rsidRPr="00E10633">
        <w:rPr>
          <w:sz w:val="24"/>
          <w:szCs w:val="24"/>
        </w:rPr>
        <w:t>«Формирование законопослушного поведения участников дорожного движения на территории Нюксенского муниципального округа на 2019-2030 годы» исполнена на 95,8 процента;</w:t>
      </w:r>
    </w:p>
    <w:p w14:paraId="6D49E6DE" w14:textId="77777777" w:rsidR="00E10633" w:rsidRPr="00E10633" w:rsidRDefault="00E10633" w:rsidP="00E10633">
      <w:pPr>
        <w:ind w:firstLine="567"/>
        <w:jc w:val="both"/>
        <w:rPr>
          <w:sz w:val="24"/>
          <w:szCs w:val="24"/>
        </w:rPr>
      </w:pPr>
      <w:r w:rsidRPr="00E10633">
        <w:rPr>
          <w:sz w:val="24"/>
          <w:szCs w:val="24"/>
        </w:rPr>
        <w:t>«Формирование современной городской среды и благоустройства Нюксенского муниципального округа» исполнена на 83,8 процента;</w:t>
      </w:r>
    </w:p>
    <w:p w14:paraId="472AC31E" w14:textId="77777777" w:rsidR="00E10633" w:rsidRPr="00E10633" w:rsidRDefault="00E10633" w:rsidP="00E10633">
      <w:pPr>
        <w:ind w:firstLine="567"/>
        <w:jc w:val="both"/>
        <w:rPr>
          <w:sz w:val="24"/>
          <w:szCs w:val="24"/>
        </w:rPr>
      </w:pPr>
      <w:r w:rsidRPr="00E10633">
        <w:rPr>
          <w:sz w:val="24"/>
          <w:szCs w:val="24"/>
        </w:rPr>
        <w:t>«Содействие занятости населения Нюксенского муниципального округа» исполнена на 98,8 процента;</w:t>
      </w:r>
    </w:p>
    <w:p w14:paraId="4E8C221A" w14:textId="77777777" w:rsidR="00E10633" w:rsidRPr="00E10633" w:rsidRDefault="00E10633" w:rsidP="00E10633">
      <w:pPr>
        <w:ind w:firstLine="709"/>
        <w:jc w:val="both"/>
        <w:rPr>
          <w:sz w:val="24"/>
          <w:szCs w:val="24"/>
        </w:rPr>
      </w:pPr>
      <w:r w:rsidRPr="00E10633">
        <w:rPr>
          <w:sz w:val="24"/>
          <w:szCs w:val="24"/>
        </w:rPr>
        <w:t>«Информатизация Нюксенского муниципального округа» исполнена на 88,2 процента;</w:t>
      </w:r>
    </w:p>
    <w:p w14:paraId="71050EDE" w14:textId="77777777" w:rsidR="00E10633" w:rsidRPr="00E10633" w:rsidRDefault="00E10633" w:rsidP="00E10633">
      <w:pPr>
        <w:ind w:firstLine="709"/>
        <w:jc w:val="both"/>
        <w:rPr>
          <w:sz w:val="24"/>
          <w:szCs w:val="28"/>
        </w:rPr>
      </w:pPr>
      <w:r w:rsidRPr="00E10633">
        <w:rPr>
          <w:sz w:val="24"/>
          <w:szCs w:val="24"/>
        </w:rPr>
        <w:t>«</w:t>
      </w:r>
      <w:r w:rsidRPr="00E10633">
        <w:rPr>
          <w:sz w:val="24"/>
          <w:szCs w:val="28"/>
        </w:rPr>
        <w:t>Комплексное развитие сельских территорий Нюксенского муниципального округа Вологодской области» исполнена на 99,8 процента.</w:t>
      </w:r>
    </w:p>
    <w:p w14:paraId="6A18492A" w14:textId="77777777" w:rsidR="00E10633" w:rsidRPr="00E10633" w:rsidRDefault="00E10633" w:rsidP="00E10633">
      <w:pPr>
        <w:ind w:firstLine="709"/>
        <w:jc w:val="both"/>
        <w:rPr>
          <w:sz w:val="24"/>
          <w:szCs w:val="24"/>
        </w:rPr>
      </w:pPr>
      <w:r w:rsidRPr="00E10633">
        <w:rPr>
          <w:sz w:val="24"/>
          <w:szCs w:val="28"/>
        </w:rPr>
        <w:t>По 8 программам исполнение варьируется от 57,5 процента до 73.7 процентов.</w:t>
      </w:r>
      <w:r w:rsidRPr="00E10633">
        <w:rPr>
          <w:sz w:val="24"/>
          <w:szCs w:val="24"/>
        </w:rPr>
        <w:t xml:space="preserve"> </w:t>
      </w:r>
    </w:p>
    <w:p w14:paraId="40BBCD77" w14:textId="77777777" w:rsidR="00E10633" w:rsidRPr="00E10633" w:rsidRDefault="00E10633" w:rsidP="00E10633">
      <w:pPr>
        <w:ind w:firstLine="709"/>
        <w:jc w:val="both"/>
        <w:rPr>
          <w:sz w:val="24"/>
          <w:szCs w:val="28"/>
        </w:rPr>
      </w:pPr>
      <w:r w:rsidRPr="00E10633">
        <w:rPr>
          <w:sz w:val="24"/>
          <w:szCs w:val="28"/>
        </w:rPr>
        <w:t>По 4 программам исполнение варьируется от 36,6 процента до 52,3 процента.</w:t>
      </w:r>
    </w:p>
    <w:p w14:paraId="7FC615B5" w14:textId="77777777" w:rsidR="00E10633" w:rsidRPr="00E10633" w:rsidRDefault="00E10633" w:rsidP="00E10633">
      <w:pPr>
        <w:ind w:firstLine="709"/>
        <w:jc w:val="both"/>
        <w:rPr>
          <w:sz w:val="24"/>
          <w:szCs w:val="28"/>
        </w:rPr>
      </w:pPr>
      <w:r w:rsidRPr="00E10633">
        <w:rPr>
          <w:sz w:val="24"/>
          <w:szCs w:val="28"/>
        </w:rPr>
        <w:t>По 2 программам исполнение варьируется от 17,6 процента до 27,9 процента.</w:t>
      </w:r>
    </w:p>
    <w:p w14:paraId="6D3BCBE5" w14:textId="77777777" w:rsidR="00E10633" w:rsidRPr="00E10633" w:rsidRDefault="00E10633" w:rsidP="00E10633">
      <w:pPr>
        <w:ind w:firstLine="709"/>
        <w:jc w:val="both"/>
        <w:rPr>
          <w:sz w:val="24"/>
          <w:szCs w:val="24"/>
        </w:rPr>
      </w:pPr>
      <w:r w:rsidRPr="00E10633">
        <w:rPr>
          <w:sz w:val="24"/>
          <w:szCs w:val="24"/>
        </w:rPr>
        <w:t xml:space="preserve">По 1 программе </w:t>
      </w:r>
      <w:r w:rsidRPr="00E10633">
        <w:rPr>
          <w:sz w:val="24"/>
          <w:szCs w:val="28"/>
        </w:rPr>
        <w:t>исполнение составило 2,1 процента</w:t>
      </w:r>
      <w:r w:rsidRPr="00E10633">
        <w:rPr>
          <w:sz w:val="24"/>
          <w:szCs w:val="24"/>
        </w:rPr>
        <w:t>.</w:t>
      </w:r>
    </w:p>
    <w:p w14:paraId="2A09F5DF" w14:textId="77777777" w:rsidR="00E10633" w:rsidRPr="00E10633" w:rsidRDefault="00E10633" w:rsidP="00E10633">
      <w:pPr>
        <w:ind w:firstLine="709"/>
        <w:jc w:val="both"/>
        <w:rPr>
          <w:iCs/>
          <w:sz w:val="24"/>
          <w:szCs w:val="24"/>
        </w:rPr>
      </w:pPr>
      <w:r w:rsidRPr="00E10633">
        <w:rPr>
          <w:iCs/>
          <w:sz w:val="24"/>
          <w:szCs w:val="24"/>
        </w:rPr>
        <w:t>Недостаточный уровень исполнения программных расходов может привести к недостижению целей муниципальных программ и невыполнению запланированных мероприятий.</w:t>
      </w:r>
    </w:p>
    <w:p w14:paraId="5F9880DE" w14:textId="77777777" w:rsidR="00E10633" w:rsidRPr="00E10633" w:rsidRDefault="00E10633" w:rsidP="00E10633">
      <w:pPr>
        <w:ind w:firstLine="540"/>
        <w:jc w:val="both"/>
        <w:rPr>
          <w:rFonts w:eastAsia="Calibri"/>
          <w:sz w:val="24"/>
          <w:szCs w:val="24"/>
          <w:lang w:eastAsia="en-US"/>
        </w:rPr>
      </w:pPr>
      <w:r w:rsidRPr="00E10633">
        <w:rPr>
          <w:sz w:val="24"/>
          <w:szCs w:val="24"/>
        </w:rPr>
        <w:t xml:space="preserve">Непрограммные расходы за 9 месяцев 2024 года исполнены в сумме 1994,1 </w:t>
      </w:r>
      <w:proofErr w:type="spellStart"/>
      <w:proofErr w:type="gramStart"/>
      <w:r w:rsidRPr="00E10633">
        <w:rPr>
          <w:sz w:val="24"/>
          <w:szCs w:val="24"/>
        </w:rPr>
        <w:t>тыс.рублей</w:t>
      </w:r>
      <w:proofErr w:type="spellEnd"/>
      <w:proofErr w:type="gramEnd"/>
      <w:r w:rsidRPr="00E10633">
        <w:rPr>
          <w:sz w:val="24"/>
          <w:szCs w:val="24"/>
        </w:rPr>
        <w:t xml:space="preserve"> (49,7%) при плановом годовом значении 4015,2 </w:t>
      </w:r>
      <w:proofErr w:type="spellStart"/>
      <w:r w:rsidRPr="00E10633">
        <w:rPr>
          <w:sz w:val="24"/>
          <w:szCs w:val="24"/>
        </w:rPr>
        <w:t>тыс.рублей</w:t>
      </w:r>
      <w:proofErr w:type="spellEnd"/>
      <w:r w:rsidRPr="00E10633">
        <w:rPr>
          <w:sz w:val="24"/>
          <w:szCs w:val="24"/>
        </w:rPr>
        <w:t>.</w:t>
      </w:r>
      <w:r w:rsidRPr="00E10633">
        <w:rPr>
          <w:rFonts w:eastAsia="Calibri"/>
          <w:sz w:val="24"/>
          <w:szCs w:val="24"/>
          <w:lang w:eastAsia="en-US"/>
        </w:rPr>
        <w:t xml:space="preserve"> </w:t>
      </w:r>
    </w:p>
    <w:p w14:paraId="3DB4A4CE" w14:textId="77777777" w:rsidR="00E10633" w:rsidRDefault="00E10633" w:rsidP="00E10633">
      <w:pPr>
        <w:ind w:firstLine="540"/>
        <w:jc w:val="both"/>
        <w:rPr>
          <w:rFonts w:eastAsia="Calibri"/>
          <w:sz w:val="24"/>
          <w:szCs w:val="24"/>
          <w:lang w:eastAsia="en-US"/>
        </w:rPr>
      </w:pPr>
      <w:r w:rsidRPr="00E10633">
        <w:rPr>
          <w:rFonts w:eastAsia="Calibri"/>
          <w:sz w:val="24"/>
          <w:szCs w:val="24"/>
          <w:lang w:eastAsia="en-US"/>
        </w:rPr>
        <w:t xml:space="preserve">Расходы по непрограммным направлениям деятельности главных распорядителей бюджетных средств исполнены комитетом земельно-имущественных отношений на 320,0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(за работы по установлению местоположения границ населенных пунктов); Представительным Собранием округа в сумме 303,8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(за публикацию в газете официальный «Вестник»); Контрольно-счетная комиссия в сумме 876,1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Администрация округа 494,2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(резервный фонд).</w:t>
      </w:r>
    </w:p>
    <w:p w14:paraId="013E3BAB" w14:textId="4B9F6A0F" w:rsidR="00E10633" w:rsidRPr="00E10633" w:rsidRDefault="00E10633" w:rsidP="00E10633">
      <w:pPr>
        <w:ind w:firstLine="540"/>
        <w:jc w:val="both"/>
        <w:rPr>
          <w:rFonts w:eastAsia="Calibri"/>
          <w:sz w:val="24"/>
          <w:szCs w:val="24"/>
          <w:lang w:eastAsia="en-US"/>
        </w:rPr>
      </w:pPr>
      <w:r w:rsidRPr="00E10633">
        <w:rPr>
          <w:rFonts w:eastAsia="Calibri"/>
          <w:sz w:val="24"/>
          <w:szCs w:val="24"/>
          <w:lang w:eastAsia="en-US"/>
        </w:rPr>
        <w:t>В 2024 года запланированы расходы, направленные на реализацию национальных проектов в объеме 481 213,2 тыс. рублей.</w:t>
      </w:r>
    </w:p>
    <w:p w14:paraId="2542CEFA" w14:textId="77777777" w:rsidR="00E10633" w:rsidRPr="00E10633" w:rsidRDefault="00E10633" w:rsidP="00E10633">
      <w:pPr>
        <w:autoSpaceDE w:val="0"/>
        <w:autoSpaceDN w:val="0"/>
        <w:adjustRightInd w:val="0"/>
        <w:ind w:firstLine="567"/>
        <w:jc w:val="both"/>
        <w:rPr>
          <w:rFonts w:eastAsia="Calibri"/>
          <w:sz w:val="24"/>
          <w:szCs w:val="24"/>
          <w:lang w:eastAsia="en-US"/>
        </w:rPr>
      </w:pPr>
      <w:r w:rsidRPr="00E10633">
        <w:rPr>
          <w:rFonts w:eastAsia="Calibri"/>
          <w:sz w:val="24"/>
          <w:szCs w:val="24"/>
          <w:lang w:eastAsia="en-US"/>
        </w:rPr>
        <w:t xml:space="preserve">Исполнение национального проекта </w:t>
      </w:r>
      <w:r w:rsidRPr="00E10633">
        <w:rPr>
          <w:rFonts w:eastAsia="Calibri"/>
          <w:b/>
          <w:bCs/>
          <w:sz w:val="24"/>
          <w:szCs w:val="24"/>
          <w:shd w:val="clear" w:color="auto" w:fill="E7E6E6"/>
          <w:lang w:eastAsia="en-US"/>
        </w:rPr>
        <w:t>«Демография»</w:t>
      </w:r>
      <w:r w:rsidRPr="00E10633">
        <w:rPr>
          <w:rFonts w:eastAsia="Calibri"/>
          <w:sz w:val="24"/>
          <w:szCs w:val="24"/>
          <w:lang w:eastAsia="en-US"/>
        </w:rPr>
        <w:t xml:space="preserve"> осуществляется в рамках реализации регионального проекта «Финансовая поддержка семей при рождении детей». Утверждены расходы на 2024 год в сумме 1 155,9 тыс. рублей на предоставление единовременной денежной выплаты (ЕДВ «земельный сертификат) взамен предоставления земельного участка многодетным семьям. Данные средства предоставлены в виде субвенции из областного бюджета. </w:t>
      </w:r>
    </w:p>
    <w:p w14:paraId="0F0B12E2" w14:textId="77777777" w:rsidR="00E10633" w:rsidRPr="00E10633" w:rsidRDefault="00E10633" w:rsidP="00E10633">
      <w:pPr>
        <w:autoSpaceDE w:val="0"/>
        <w:autoSpaceDN w:val="0"/>
        <w:adjustRightInd w:val="0"/>
        <w:ind w:firstLine="567"/>
        <w:jc w:val="both"/>
        <w:rPr>
          <w:sz w:val="28"/>
          <w:szCs w:val="28"/>
        </w:rPr>
      </w:pPr>
      <w:r w:rsidRPr="00E10633">
        <w:rPr>
          <w:rFonts w:eastAsia="Calibri"/>
          <w:sz w:val="24"/>
          <w:szCs w:val="24"/>
          <w:lang w:eastAsia="en-US"/>
        </w:rPr>
        <w:t>Исполнителем является Комитет земельно-имущественных отношений администрации Нюксенского муниципального округа.</w:t>
      </w:r>
    </w:p>
    <w:p w14:paraId="36E01536" w14:textId="77777777" w:rsidR="00E10633" w:rsidRPr="00E10633" w:rsidRDefault="00E10633" w:rsidP="00E10633">
      <w:pPr>
        <w:ind w:firstLine="567"/>
        <w:jc w:val="both"/>
        <w:rPr>
          <w:rFonts w:eastAsia="Calibri"/>
          <w:sz w:val="24"/>
          <w:szCs w:val="24"/>
          <w:lang w:eastAsia="en-US"/>
        </w:rPr>
      </w:pPr>
      <w:r w:rsidRPr="00E10633">
        <w:rPr>
          <w:rFonts w:eastAsia="Calibri"/>
          <w:sz w:val="24"/>
          <w:szCs w:val="24"/>
          <w:lang w:eastAsia="en-US"/>
        </w:rPr>
        <w:t xml:space="preserve">Исполнение за 9 месяцев 2024 года составляет 49,3 процента или 569,4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выдано три земельных сертификата (Распоряжение комитета земельно-имущественных отношений администрации Нюксенского муниципального округа № 59 от 22.03.2024 года,  №158 от 02.08.2024 года, №170 от 21.08.2024 года).</w:t>
      </w:r>
    </w:p>
    <w:p w14:paraId="4D9A796E" w14:textId="77777777" w:rsidR="00E10633" w:rsidRPr="00E10633" w:rsidRDefault="00E10633" w:rsidP="00E10633">
      <w:pPr>
        <w:ind w:firstLine="567"/>
        <w:jc w:val="both"/>
        <w:rPr>
          <w:rFonts w:eastAsia="Calibri"/>
          <w:sz w:val="24"/>
          <w:szCs w:val="24"/>
          <w:lang w:eastAsia="en-US"/>
        </w:rPr>
      </w:pPr>
      <w:r w:rsidRPr="00E10633">
        <w:rPr>
          <w:rFonts w:eastAsia="Calibri"/>
          <w:sz w:val="24"/>
          <w:szCs w:val="24"/>
          <w:lang w:eastAsia="en-US"/>
        </w:rPr>
        <w:t xml:space="preserve">Исполнение национального проекта </w:t>
      </w:r>
      <w:r w:rsidRPr="00E10633">
        <w:rPr>
          <w:rFonts w:eastAsia="Calibri"/>
          <w:b/>
          <w:bCs/>
          <w:sz w:val="24"/>
          <w:szCs w:val="24"/>
          <w:shd w:val="clear" w:color="auto" w:fill="FF7474"/>
          <w:lang w:eastAsia="en-US"/>
        </w:rPr>
        <w:t>«Образование»</w:t>
      </w:r>
      <w:r w:rsidRPr="00E10633">
        <w:rPr>
          <w:rFonts w:eastAsia="Calibri"/>
          <w:sz w:val="24"/>
          <w:szCs w:val="24"/>
          <w:lang w:eastAsia="en-US"/>
        </w:rPr>
        <w:t xml:space="preserve"> осуществляется в рамках регионального проекта: «Патриотическое воспитание граждан Российской Федерации (Вологодская область) (EВ)». Утверждены расходы в сумме 782,8 тыс. рублей, в том числе за счет федерального бюджета в сумме 751,5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и областного бюджета в сумме 31,3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Исполнителем является Управление образования </w:t>
      </w:r>
      <w:r w:rsidRPr="00E10633">
        <w:rPr>
          <w:rFonts w:eastAsia="Calibri"/>
          <w:sz w:val="24"/>
          <w:szCs w:val="24"/>
          <w:lang w:eastAsia="en-US"/>
        </w:rPr>
        <w:lastRenderedPageBreak/>
        <w:t>администрации Нюксенского муниципального округа. Исполнение за 9 месяцев 2024 года составило 648,4 тыс. рублей или 82,9 процента от плановых назначений.</w:t>
      </w:r>
    </w:p>
    <w:p w14:paraId="3A314F5F" w14:textId="77777777" w:rsidR="00E10633" w:rsidRPr="00E10633" w:rsidRDefault="00E10633" w:rsidP="00E10633">
      <w:pPr>
        <w:ind w:firstLine="567"/>
        <w:jc w:val="both"/>
        <w:rPr>
          <w:rFonts w:eastAsia="Calibri"/>
          <w:sz w:val="24"/>
          <w:szCs w:val="24"/>
          <w:lang w:eastAsia="en-US"/>
        </w:rPr>
      </w:pPr>
      <w:r w:rsidRPr="00E10633">
        <w:rPr>
          <w:rFonts w:eastAsia="Calibri"/>
          <w:sz w:val="24"/>
          <w:szCs w:val="24"/>
          <w:lang w:eastAsia="en-US"/>
        </w:rPr>
        <w:t xml:space="preserve">Исполнение национального проекта </w:t>
      </w:r>
      <w:r w:rsidRPr="00E10633">
        <w:rPr>
          <w:rFonts w:eastAsia="Calibri"/>
          <w:b/>
          <w:bCs/>
          <w:sz w:val="24"/>
          <w:szCs w:val="24"/>
          <w:shd w:val="clear" w:color="auto" w:fill="9CC2E5"/>
          <w:lang w:eastAsia="en-US"/>
        </w:rPr>
        <w:t>«Жилье и городская среда»</w:t>
      </w:r>
      <w:r w:rsidRPr="00E10633">
        <w:rPr>
          <w:rFonts w:eastAsia="Calibri"/>
          <w:sz w:val="24"/>
          <w:szCs w:val="24"/>
          <w:lang w:eastAsia="en-US"/>
        </w:rPr>
        <w:t xml:space="preserve"> осуществляется в рамках региональных проектов на общую сумму 481 213,2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в том числе за счет федерального бюджета  в сумме 280 571,7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областного бюджета  в сумме 198 504,5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и местного бюджета  в сумме 2137,0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а именно на:</w:t>
      </w:r>
    </w:p>
    <w:p w14:paraId="10BEC442" w14:textId="77777777" w:rsidR="00E10633" w:rsidRPr="00E10633" w:rsidRDefault="00E10633" w:rsidP="00E10633">
      <w:pPr>
        <w:numPr>
          <w:ilvl w:val="0"/>
          <w:numId w:val="46"/>
        </w:numPr>
        <w:ind w:left="0" w:firstLine="567"/>
        <w:jc w:val="both"/>
        <w:rPr>
          <w:rFonts w:eastAsia="Calibri"/>
          <w:sz w:val="24"/>
          <w:szCs w:val="24"/>
          <w:lang w:eastAsia="en-US"/>
        </w:rPr>
      </w:pPr>
      <w:r w:rsidRPr="00E10633">
        <w:rPr>
          <w:rFonts w:eastAsia="Calibri"/>
          <w:b/>
          <w:bCs/>
          <w:sz w:val="24"/>
          <w:szCs w:val="24"/>
          <w:lang w:eastAsia="en-US"/>
        </w:rPr>
        <w:t>«Формирование комфортной городской среды»</w:t>
      </w:r>
      <w:r w:rsidRPr="00E10633">
        <w:rPr>
          <w:rFonts w:eastAsia="Calibri"/>
          <w:sz w:val="24"/>
          <w:szCs w:val="24"/>
          <w:lang w:eastAsia="en-US"/>
        </w:rPr>
        <w:t xml:space="preserve">, в том числе реализация мероприятий по благоустройству дворовых территорий. </w:t>
      </w:r>
      <w:bookmarkStart w:id="0" w:name="_Hlk173224286"/>
      <w:r w:rsidRPr="00E10633">
        <w:rPr>
          <w:rFonts w:eastAsia="Calibri"/>
          <w:sz w:val="24"/>
          <w:szCs w:val="24"/>
          <w:lang w:eastAsia="en-US"/>
        </w:rPr>
        <w:t xml:space="preserve">Утверждены расходы в сумме 4 787,8 тыс. рублей, в том числе за счет федерального бюджета 1 229,4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областного бюджета 3079,6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и бюджета округа 478,8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w:t>
      </w:r>
      <w:bookmarkEnd w:id="0"/>
      <w:r w:rsidRPr="00E10633">
        <w:rPr>
          <w:rFonts w:eastAsia="Calibri"/>
          <w:sz w:val="24"/>
          <w:szCs w:val="24"/>
          <w:lang w:eastAsia="en-US"/>
        </w:rPr>
        <w:t xml:space="preserve"> Исполнителем является Управление народнохозяйственного комплекса администрации Нюксенского муниципального округа. Исполнение за 9 месяцев 2024 года составило 99,9 процента или 4 786,4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w:t>
      </w:r>
    </w:p>
    <w:p w14:paraId="017BDC2A" w14:textId="77777777" w:rsidR="00E10633" w:rsidRPr="00E10633" w:rsidRDefault="00E10633" w:rsidP="00E10633">
      <w:pPr>
        <w:numPr>
          <w:ilvl w:val="0"/>
          <w:numId w:val="46"/>
        </w:numPr>
        <w:ind w:left="0" w:firstLine="567"/>
        <w:jc w:val="both"/>
        <w:rPr>
          <w:rFonts w:eastAsia="Calibri"/>
          <w:sz w:val="24"/>
          <w:szCs w:val="24"/>
          <w:lang w:eastAsia="en-US"/>
        </w:rPr>
      </w:pPr>
      <w:r w:rsidRPr="00E10633">
        <w:rPr>
          <w:rFonts w:eastAsia="Calibri"/>
          <w:b/>
          <w:bCs/>
          <w:sz w:val="24"/>
          <w:szCs w:val="24"/>
          <w:lang w:eastAsia="en-US"/>
        </w:rPr>
        <w:t>«Обеспечение устойчивого сокращения непригодного для проживания жилищного фонда»</w:t>
      </w:r>
      <w:r w:rsidRPr="00E10633">
        <w:rPr>
          <w:rFonts w:eastAsia="Calibri"/>
          <w:sz w:val="24"/>
          <w:szCs w:val="24"/>
          <w:lang w:eastAsia="en-US"/>
        </w:rPr>
        <w:t xml:space="preserve">, в том числе реализация мероприятий по приобретению (строительство) жилья в целях переселения граждан из аварийного жилищного фонда. Утверждены расходы в сумме 304 369,4 тыс. рублей, в том числе за счет федерального бюджета 115 554,6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областного бюджета 188 805,1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местный бюджет 9,7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w:t>
      </w:r>
    </w:p>
    <w:p w14:paraId="07B9F5FA" w14:textId="77777777" w:rsidR="00E10633" w:rsidRPr="00E10633" w:rsidRDefault="00E10633" w:rsidP="00E10633">
      <w:pPr>
        <w:ind w:firstLine="709"/>
        <w:jc w:val="both"/>
        <w:rPr>
          <w:rFonts w:eastAsia="Calibri"/>
          <w:sz w:val="24"/>
          <w:szCs w:val="24"/>
          <w:lang w:eastAsia="en-US"/>
        </w:rPr>
      </w:pPr>
      <w:r w:rsidRPr="00E10633">
        <w:rPr>
          <w:rFonts w:eastAsia="Calibri"/>
          <w:sz w:val="24"/>
          <w:szCs w:val="24"/>
          <w:lang w:eastAsia="en-US"/>
        </w:rPr>
        <w:t xml:space="preserve">Исполнителем является Управление народнохозяйственного комплекса администрации Нюксенского муниципального округа. Исполнение за 9 месяцев 2024 года составило 40,9% или 124 500,7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в том числе за счет федерального бюджета 70 113,6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и областного бюджета 54 385,1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местный бюджет 2,0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w:t>
      </w:r>
    </w:p>
    <w:p w14:paraId="041E2C93" w14:textId="77777777" w:rsidR="00E10633" w:rsidRPr="00E10633" w:rsidRDefault="00E10633" w:rsidP="00E10633">
      <w:pPr>
        <w:numPr>
          <w:ilvl w:val="0"/>
          <w:numId w:val="46"/>
        </w:numPr>
        <w:ind w:left="0" w:firstLine="567"/>
        <w:jc w:val="both"/>
        <w:rPr>
          <w:rFonts w:eastAsia="Calibri"/>
          <w:sz w:val="24"/>
          <w:szCs w:val="24"/>
          <w:lang w:eastAsia="en-US"/>
        </w:rPr>
      </w:pPr>
      <w:r w:rsidRPr="00E10633">
        <w:rPr>
          <w:rFonts w:eastAsia="Calibri"/>
          <w:b/>
          <w:bCs/>
          <w:sz w:val="24"/>
          <w:szCs w:val="24"/>
          <w:lang w:eastAsia="en-US"/>
        </w:rPr>
        <w:t xml:space="preserve">«Чистая вода», </w:t>
      </w:r>
      <w:r w:rsidRPr="00E10633">
        <w:rPr>
          <w:rFonts w:eastAsia="Calibri"/>
          <w:sz w:val="24"/>
          <w:szCs w:val="24"/>
          <w:lang w:eastAsia="en-US"/>
        </w:rPr>
        <w:t xml:space="preserve">в том числе реализация мероприятий по строительству и реконструкции (модернизации) объектов питьевого водоснабжения. Утверждены расходы на общую сумму 172 056,0 тыс. рублей, в том числе за счет федерального бюджета 163 787,7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областного бюджета 6 619,8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и бюджета округа 1 648,5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w:t>
      </w:r>
    </w:p>
    <w:p w14:paraId="14A0BD96" w14:textId="77777777" w:rsidR="00E10633" w:rsidRPr="00E10633" w:rsidRDefault="00E10633" w:rsidP="00E10633">
      <w:pPr>
        <w:ind w:firstLine="709"/>
        <w:jc w:val="both"/>
        <w:rPr>
          <w:rFonts w:eastAsia="Calibri"/>
          <w:sz w:val="24"/>
          <w:szCs w:val="24"/>
          <w:lang w:eastAsia="en-US"/>
        </w:rPr>
      </w:pPr>
      <w:r w:rsidRPr="00E10633">
        <w:rPr>
          <w:rFonts w:eastAsia="Calibri"/>
          <w:sz w:val="24"/>
          <w:szCs w:val="24"/>
          <w:lang w:eastAsia="en-US"/>
        </w:rPr>
        <w:t>Исполнителем является Управление народнохозяйственного комплекса администрации Нюксенского муниципального округа. В рамках реализации мероприятия планируется   провести выполнение реконструкции распределительной сети водоснабжения в с. Нюксеница, Нюксенского района, Вологодской области 1 этап;</w:t>
      </w:r>
      <w:r w:rsidRPr="00E10633">
        <w:rPr>
          <w:sz w:val="24"/>
          <w:szCs w:val="24"/>
        </w:rPr>
        <w:t xml:space="preserve"> </w:t>
      </w:r>
      <w:r w:rsidRPr="00E10633">
        <w:rPr>
          <w:rFonts w:eastAsia="Calibri"/>
          <w:sz w:val="24"/>
          <w:szCs w:val="24"/>
          <w:lang w:eastAsia="en-US"/>
        </w:rPr>
        <w:t xml:space="preserve">услуги по проведению строительного контроля при строительстве: «Реконструкция распределительной сети водоснабжения в с. Нюксеница, Нюксенского района, Вологодской области 1 этап»; услуги по авторскому надзору за </w:t>
      </w:r>
      <w:proofErr w:type="spellStart"/>
      <w:r w:rsidRPr="00E10633">
        <w:rPr>
          <w:rFonts w:eastAsia="Calibri"/>
          <w:sz w:val="24"/>
          <w:szCs w:val="24"/>
          <w:lang w:eastAsia="en-US"/>
        </w:rPr>
        <w:t>строительно</w:t>
      </w:r>
      <w:proofErr w:type="spellEnd"/>
      <w:r w:rsidRPr="00E10633">
        <w:rPr>
          <w:rFonts w:eastAsia="Calibri"/>
          <w:sz w:val="24"/>
          <w:szCs w:val="24"/>
          <w:lang w:eastAsia="en-US"/>
        </w:rPr>
        <w:t xml:space="preserve"> – монтажными работами по объекту  «Реконструкция распределительной сети водоснабжения в с. Нюксеница, Нюксенского района, Вологодской области 1 этап».</w:t>
      </w:r>
    </w:p>
    <w:p w14:paraId="7595EBD5" w14:textId="77777777" w:rsidR="00E10633" w:rsidRPr="00E10633" w:rsidRDefault="00E10633" w:rsidP="00E10633">
      <w:pPr>
        <w:ind w:firstLine="709"/>
        <w:jc w:val="both"/>
        <w:rPr>
          <w:rFonts w:eastAsia="Calibri"/>
          <w:sz w:val="24"/>
          <w:szCs w:val="24"/>
          <w:lang w:eastAsia="en-US"/>
        </w:rPr>
      </w:pPr>
      <w:r w:rsidRPr="00E10633">
        <w:rPr>
          <w:rFonts w:eastAsia="Calibri"/>
          <w:sz w:val="24"/>
          <w:szCs w:val="24"/>
          <w:lang w:eastAsia="en-US"/>
        </w:rPr>
        <w:t xml:space="preserve">Исполнение за 9 месяцев 2024 года составило 43,7% или 75 076,9 тыс. рублей, в том числе за счет федерального бюджета 72 064,4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 xml:space="preserve"> и областного бюджета 2 912,6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местный бюджет 99,9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w:t>
      </w:r>
    </w:p>
    <w:p w14:paraId="5F8A8244" w14:textId="77777777" w:rsidR="00E10633" w:rsidRPr="00E10633" w:rsidRDefault="00E10633" w:rsidP="00E10633">
      <w:pPr>
        <w:ind w:firstLine="709"/>
        <w:jc w:val="both"/>
        <w:rPr>
          <w:sz w:val="24"/>
          <w:szCs w:val="24"/>
        </w:rPr>
      </w:pPr>
      <w:r w:rsidRPr="00E10633">
        <w:rPr>
          <w:sz w:val="24"/>
          <w:szCs w:val="24"/>
        </w:rPr>
        <w:t>Решением Представительного Собрания Нюксенского муниципального округа Вологодской области от 15.12.2023 г. № 108 «О бюджете Нюксенского муниципального округа Вологодской области на 2024 год и плановый период 2025-2026 годов» первоначально утвержден бюджет с дефицитом в размере 4 275,1 тыс. рублей.</w:t>
      </w:r>
    </w:p>
    <w:p w14:paraId="06BE316B" w14:textId="77777777" w:rsidR="00E10633" w:rsidRDefault="00E10633" w:rsidP="00E10633">
      <w:pPr>
        <w:ind w:firstLine="709"/>
        <w:jc w:val="both"/>
        <w:rPr>
          <w:sz w:val="24"/>
          <w:szCs w:val="24"/>
        </w:rPr>
      </w:pPr>
      <w:r w:rsidRPr="00E10633">
        <w:rPr>
          <w:sz w:val="24"/>
          <w:szCs w:val="24"/>
        </w:rPr>
        <w:t xml:space="preserve"> С учетом внесенных изменений, произведенных в течение 9 месяцев 2024 года, размер профицита бюджета установлен в сумме 23 288,8 </w:t>
      </w:r>
      <w:proofErr w:type="spellStart"/>
      <w:proofErr w:type="gramStart"/>
      <w:r w:rsidRPr="00E10633">
        <w:rPr>
          <w:sz w:val="24"/>
          <w:szCs w:val="24"/>
        </w:rPr>
        <w:t>тыс.рублей</w:t>
      </w:r>
      <w:proofErr w:type="spellEnd"/>
      <w:proofErr w:type="gramEnd"/>
      <w:r w:rsidRPr="00E10633">
        <w:rPr>
          <w:sz w:val="24"/>
          <w:szCs w:val="24"/>
        </w:rPr>
        <w:t xml:space="preserve">. Согласно отчету об исполнении бюджета за 9 месяцев 2024 года, бюджет исполнен с профицитом в сумме 7 061,4 </w:t>
      </w:r>
      <w:proofErr w:type="spellStart"/>
      <w:proofErr w:type="gramStart"/>
      <w:r w:rsidRPr="00E10633">
        <w:rPr>
          <w:sz w:val="24"/>
          <w:szCs w:val="24"/>
        </w:rPr>
        <w:t>тыс.рублей</w:t>
      </w:r>
      <w:proofErr w:type="spellEnd"/>
      <w:proofErr w:type="gramEnd"/>
      <w:r w:rsidRPr="00E10633">
        <w:rPr>
          <w:sz w:val="24"/>
          <w:szCs w:val="24"/>
        </w:rPr>
        <w:t xml:space="preserve">. За аналогичный период 2023 года бюджет исполнен с профицитом 25 274,2 </w:t>
      </w:r>
      <w:proofErr w:type="spellStart"/>
      <w:proofErr w:type="gramStart"/>
      <w:r w:rsidRPr="00E10633">
        <w:rPr>
          <w:sz w:val="24"/>
          <w:szCs w:val="24"/>
        </w:rPr>
        <w:t>тыс.рублей</w:t>
      </w:r>
      <w:proofErr w:type="spellEnd"/>
      <w:proofErr w:type="gramEnd"/>
      <w:r w:rsidRPr="00E10633">
        <w:rPr>
          <w:sz w:val="24"/>
          <w:szCs w:val="24"/>
        </w:rPr>
        <w:t xml:space="preserve"> (при запланированном дефиците 0,0 </w:t>
      </w:r>
      <w:proofErr w:type="spellStart"/>
      <w:r w:rsidRPr="00E10633">
        <w:rPr>
          <w:sz w:val="24"/>
          <w:szCs w:val="24"/>
        </w:rPr>
        <w:t>тыс.рублей</w:t>
      </w:r>
      <w:proofErr w:type="spellEnd"/>
      <w:r w:rsidRPr="00E10633">
        <w:rPr>
          <w:sz w:val="24"/>
          <w:szCs w:val="24"/>
        </w:rPr>
        <w:t>).</w:t>
      </w:r>
    </w:p>
    <w:p w14:paraId="31C9018F" w14:textId="6C3D4CF5" w:rsidR="00E10633" w:rsidRPr="00E10633" w:rsidRDefault="00E10633" w:rsidP="00E10633">
      <w:pPr>
        <w:ind w:firstLine="709"/>
        <w:jc w:val="both"/>
        <w:rPr>
          <w:sz w:val="24"/>
          <w:szCs w:val="24"/>
        </w:rPr>
      </w:pPr>
      <w:r w:rsidRPr="00E10633">
        <w:rPr>
          <w:rFonts w:eastAsia="Calibri"/>
          <w:sz w:val="24"/>
          <w:szCs w:val="24"/>
          <w:lang w:eastAsia="en-US"/>
        </w:rPr>
        <w:t>Решением о бюджете размер резервного фонда администрации Нюксенского муниципального округа Вологодской области установлен в сумме 610,0 тыс. рублей.</w:t>
      </w:r>
    </w:p>
    <w:p w14:paraId="06FBC7AC" w14:textId="0D1ACF71" w:rsidR="00E10633" w:rsidRPr="00E10633" w:rsidRDefault="00E10633" w:rsidP="00E10633">
      <w:pPr>
        <w:tabs>
          <w:tab w:val="left" w:pos="284"/>
        </w:tabs>
        <w:ind w:firstLine="567"/>
        <w:jc w:val="both"/>
        <w:rPr>
          <w:rFonts w:eastAsia="Calibri"/>
          <w:sz w:val="24"/>
          <w:szCs w:val="24"/>
          <w:lang w:eastAsia="en-US"/>
        </w:rPr>
      </w:pPr>
      <w:r w:rsidRPr="00E10633">
        <w:rPr>
          <w:sz w:val="24"/>
          <w:szCs w:val="24"/>
        </w:rPr>
        <w:t xml:space="preserve">Согласно Отчета об использовании средств резервного фонда администрации округа за 9 месяцев 2024 года расходы из резервного фонда администрации производились в сумме 490,0 тыс. рублей </w:t>
      </w:r>
      <w:r w:rsidRPr="00E10633">
        <w:rPr>
          <w:rFonts w:eastAsia="Calibri"/>
          <w:sz w:val="24"/>
          <w:szCs w:val="24"/>
          <w:lang w:eastAsia="en-US"/>
        </w:rPr>
        <w:t>на непредвиденные расходы</w:t>
      </w:r>
      <w:r>
        <w:rPr>
          <w:rFonts w:eastAsia="Calibri"/>
          <w:sz w:val="24"/>
          <w:szCs w:val="24"/>
          <w:lang w:eastAsia="en-US"/>
        </w:rPr>
        <w:t>.</w:t>
      </w:r>
      <w:r w:rsidRPr="00E10633">
        <w:rPr>
          <w:rFonts w:eastAsia="Calibri"/>
          <w:sz w:val="24"/>
          <w:szCs w:val="24"/>
          <w:lang w:eastAsia="en-US"/>
        </w:rPr>
        <w:t>,</w:t>
      </w:r>
      <w:bookmarkStart w:id="1" w:name="_Hlk182229663"/>
    </w:p>
    <w:bookmarkEnd w:id="1"/>
    <w:p w14:paraId="0427C9C2" w14:textId="77777777" w:rsidR="00E10633" w:rsidRPr="00E10633" w:rsidRDefault="00E10633" w:rsidP="00E10633">
      <w:pPr>
        <w:ind w:firstLine="567"/>
        <w:jc w:val="both"/>
        <w:rPr>
          <w:rFonts w:eastAsia="Calibri"/>
          <w:sz w:val="24"/>
          <w:szCs w:val="24"/>
          <w:lang w:eastAsia="en-US"/>
        </w:rPr>
      </w:pPr>
      <w:r w:rsidRPr="00E10633">
        <w:rPr>
          <w:rFonts w:eastAsia="Calibri"/>
          <w:sz w:val="24"/>
          <w:szCs w:val="24"/>
          <w:lang w:eastAsia="en-US"/>
        </w:rPr>
        <w:lastRenderedPageBreak/>
        <w:t>Анализ расходования средств резервного фонда администрации округа показал, что цели, на реализацию которых направлены средства резервного фонда, соответствуют пункту 4 статьи 81 БК РФ и Положению о порядке использования средств резервного фонда администрации округа, утвержденному постановлением администрации Нюксенского муниципального округа от 09.01.2023 № 3.</w:t>
      </w:r>
    </w:p>
    <w:p w14:paraId="5700ED26" w14:textId="77777777" w:rsidR="00E10633" w:rsidRPr="00E10633" w:rsidRDefault="00E10633" w:rsidP="00E10633">
      <w:pPr>
        <w:autoSpaceDE w:val="0"/>
        <w:autoSpaceDN w:val="0"/>
        <w:adjustRightInd w:val="0"/>
        <w:ind w:firstLine="709"/>
        <w:jc w:val="both"/>
        <w:rPr>
          <w:rFonts w:ascii="Times New Roman CYR" w:hAnsi="Times New Roman CYR" w:cs="Times New Roman CYR"/>
          <w:color w:val="000000"/>
          <w:sz w:val="24"/>
          <w:szCs w:val="24"/>
        </w:rPr>
      </w:pPr>
      <w:r w:rsidRPr="00E10633">
        <w:rPr>
          <w:color w:val="000000"/>
          <w:sz w:val="24"/>
          <w:szCs w:val="24"/>
        </w:rPr>
        <w:t>Расходы Дорожного фонда Нюксенского муниципального округа сформированы в соответствии с «Порядком формирования и использования бюджетных ассигнований муниципального дорожного фонда Нюксенского муниципального округа», утвержденного решением Представительного Собрания Нюксенского муниципального округа от 26.10.2022 № 22.</w:t>
      </w:r>
      <w:r w:rsidRPr="00E10633">
        <w:rPr>
          <w:rFonts w:ascii="Times New Roman CYR" w:hAnsi="Times New Roman CYR" w:cs="Times New Roman CYR"/>
          <w:color w:val="000000"/>
          <w:sz w:val="24"/>
          <w:szCs w:val="24"/>
        </w:rPr>
        <w:t xml:space="preserve"> </w:t>
      </w:r>
    </w:p>
    <w:p w14:paraId="5996AEC2" w14:textId="77777777" w:rsidR="00E10633" w:rsidRPr="00E10633" w:rsidRDefault="00E10633" w:rsidP="00E10633">
      <w:pPr>
        <w:autoSpaceDE w:val="0"/>
        <w:autoSpaceDN w:val="0"/>
        <w:adjustRightInd w:val="0"/>
        <w:ind w:firstLine="709"/>
        <w:jc w:val="both"/>
        <w:rPr>
          <w:rFonts w:ascii="Times New Roman CYR" w:hAnsi="Times New Roman CYR" w:cs="Times New Roman CYR"/>
          <w:color w:val="000000"/>
          <w:sz w:val="24"/>
          <w:szCs w:val="24"/>
        </w:rPr>
      </w:pPr>
      <w:r w:rsidRPr="00E10633">
        <w:rPr>
          <w:rFonts w:ascii="Times New Roman CYR" w:hAnsi="Times New Roman CYR" w:cs="Times New Roman CYR"/>
          <w:color w:val="000000"/>
          <w:sz w:val="24"/>
          <w:szCs w:val="24"/>
        </w:rPr>
        <w:t>Пунктом 10 и 11 Решения о бюджете на 2024 год (с учетом изменений и дополнений) утверждены объемы и распределение бюджетных ассигнований Дорожного фонда Нюксенского округа на 2024 год и плановый период 2025 и 2026 годы, что соответствует требованиям части 5 статьи 179.4 Бюджетного кодекса.</w:t>
      </w:r>
    </w:p>
    <w:p w14:paraId="04BB2E28" w14:textId="77777777" w:rsidR="00E10633" w:rsidRPr="00E10633" w:rsidRDefault="00E10633" w:rsidP="00E10633">
      <w:pPr>
        <w:ind w:firstLine="567"/>
        <w:jc w:val="both"/>
        <w:rPr>
          <w:sz w:val="24"/>
          <w:szCs w:val="24"/>
        </w:rPr>
      </w:pPr>
      <w:r w:rsidRPr="00E10633">
        <w:rPr>
          <w:sz w:val="24"/>
          <w:szCs w:val="24"/>
        </w:rPr>
        <w:t xml:space="preserve">В соответствии с Решением о бюджете на 2024 год </w:t>
      </w:r>
      <w:r w:rsidRPr="00E10633">
        <w:rPr>
          <w:rFonts w:ascii="Times New Roman CYR" w:hAnsi="Times New Roman CYR" w:cs="Times New Roman CYR"/>
          <w:sz w:val="24"/>
          <w:szCs w:val="24"/>
        </w:rPr>
        <w:t xml:space="preserve">(с учетом изменений и дополнений) </w:t>
      </w:r>
      <w:r w:rsidRPr="00E10633">
        <w:rPr>
          <w:sz w:val="24"/>
          <w:szCs w:val="24"/>
        </w:rPr>
        <w:t xml:space="preserve"> средства дорожного фонда распределены - Администрации Нюксенскому муниципальному округу, Нюксенскому территориальному отделу администрации округа на содержание, ремонт, капитальный ремонт автомобильных дорог и искусственных сооружений и безопасности дорожного движения в рамках муниципальных программ «Дорожная сеть и транспортное обслуживание» и «Формирование законопослушного поведения участников дорожного движения на территории Нюксенского муниципального округа».</w:t>
      </w:r>
    </w:p>
    <w:p w14:paraId="1BE67AAB" w14:textId="77777777" w:rsidR="00E10633" w:rsidRPr="00E10633" w:rsidRDefault="00E10633" w:rsidP="00E10633">
      <w:pPr>
        <w:ind w:firstLine="567"/>
        <w:jc w:val="both"/>
        <w:rPr>
          <w:b/>
          <w:bCs/>
          <w:sz w:val="24"/>
          <w:szCs w:val="24"/>
        </w:rPr>
      </w:pPr>
      <w:r w:rsidRPr="00E10633">
        <w:rPr>
          <w:sz w:val="24"/>
          <w:szCs w:val="24"/>
        </w:rPr>
        <w:t xml:space="preserve">Согласно бюджетной росписи (с учетом изменений) на мероприятия по осуществлению дорожной деятельности из средств дорожного фонда запланировано 89 755,5 тыс. рублей по подразделу </w:t>
      </w:r>
      <w:r w:rsidRPr="00E10633">
        <w:rPr>
          <w:b/>
          <w:bCs/>
          <w:sz w:val="24"/>
          <w:szCs w:val="24"/>
        </w:rPr>
        <w:t>0409 «Дорожное хозяйство (дорожные фонды)».</w:t>
      </w:r>
    </w:p>
    <w:p w14:paraId="634C123B" w14:textId="77777777" w:rsidR="00E10633" w:rsidRDefault="00E10633" w:rsidP="00E10633">
      <w:pPr>
        <w:autoSpaceDE w:val="0"/>
        <w:autoSpaceDN w:val="0"/>
        <w:adjustRightInd w:val="0"/>
        <w:ind w:firstLine="709"/>
        <w:jc w:val="both"/>
        <w:rPr>
          <w:sz w:val="24"/>
          <w:szCs w:val="24"/>
        </w:rPr>
      </w:pPr>
      <w:r w:rsidRPr="00E10633">
        <w:rPr>
          <w:color w:val="000000"/>
          <w:sz w:val="24"/>
          <w:szCs w:val="24"/>
        </w:rPr>
        <w:t>В целях соблюдения статьи 34 Бюджетного кодекса РФ ответственным исполнителям муниципальных программ, в рамках которых выполняются мероприятия по содержанию «Дорожного фонда» необходимо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фактов неисполнения запланированных расходов.</w:t>
      </w:r>
    </w:p>
    <w:p w14:paraId="38436CB0" w14:textId="7864533F" w:rsidR="00E10633" w:rsidRPr="00E10633" w:rsidRDefault="00E10633" w:rsidP="00E10633">
      <w:pPr>
        <w:autoSpaceDE w:val="0"/>
        <w:autoSpaceDN w:val="0"/>
        <w:adjustRightInd w:val="0"/>
        <w:ind w:firstLine="709"/>
        <w:jc w:val="both"/>
        <w:rPr>
          <w:sz w:val="24"/>
          <w:szCs w:val="24"/>
        </w:rPr>
      </w:pPr>
      <w:r>
        <w:rPr>
          <w:sz w:val="24"/>
          <w:szCs w:val="24"/>
        </w:rPr>
        <w:t>Р</w:t>
      </w:r>
      <w:r w:rsidRPr="00E10633">
        <w:rPr>
          <w:rFonts w:eastAsia="Calibri"/>
          <w:sz w:val="24"/>
          <w:szCs w:val="24"/>
          <w:lang w:eastAsia="en-US"/>
        </w:rPr>
        <w:t>ешением Представительного Собрания Нюксенского муниципального округа от 18.04.2024 года №35 «О внесении изменений и дополнений в решение Представительного Собрания Нюксенского муниципального округа Вологодской области от 15.12.2023 года</w:t>
      </w:r>
      <w:r w:rsidRPr="00E10633">
        <w:rPr>
          <w:sz w:val="24"/>
          <w:szCs w:val="24"/>
        </w:rPr>
        <w:t xml:space="preserve"> № 108 «О бюджете Нюксенского муниципального округа Вологодской области на 2024 год и плановый период 2025-2026 годов» (с изменениями и дополнениями) программа муниципальных внутренних заимствований на 2024 и плановый период 2025 и 2026 годы утверждена, согласно приложению 7 к настоящему решению.</w:t>
      </w:r>
    </w:p>
    <w:p w14:paraId="0DAD72EF" w14:textId="77777777" w:rsidR="00E10633" w:rsidRPr="00E10633" w:rsidRDefault="00E10633" w:rsidP="00E10633">
      <w:pPr>
        <w:tabs>
          <w:tab w:val="left" w:pos="284"/>
        </w:tabs>
        <w:ind w:firstLine="709"/>
        <w:jc w:val="both"/>
        <w:rPr>
          <w:rFonts w:eastAsia="Calibri"/>
          <w:sz w:val="24"/>
          <w:szCs w:val="24"/>
          <w:lang w:eastAsia="en-US"/>
        </w:rPr>
      </w:pPr>
      <w:r w:rsidRPr="00E10633">
        <w:rPr>
          <w:rFonts w:eastAsia="Calibri"/>
          <w:sz w:val="24"/>
          <w:szCs w:val="24"/>
          <w:lang w:eastAsia="en-US"/>
        </w:rPr>
        <w:t>Установлен верхний предел муниципального внутреннего долга Нюксенского муниципального округа</w:t>
      </w:r>
      <w:bookmarkStart w:id="2" w:name="_Hlk173137378"/>
      <w:r w:rsidRPr="00E10633">
        <w:rPr>
          <w:rFonts w:eastAsia="Calibri"/>
          <w:sz w:val="24"/>
          <w:szCs w:val="24"/>
          <w:lang w:eastAsia="en-US"/>
        </w:rPr>
        <w:t xml:space="preserve">: 1) по состоянию на 1 января 2025 года 9400,0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в том числе по муниципальным гарантиям 0 рублей;</w:t>
      </w:r>
      <w:bookmarkEnd w:id="2"/>
      <w:r w:rsidRPr="00E10633">
        <w:rPr>
          <w:rFonts w:eastAsia="Calibri"/>
          <w:sz w:val="24"/>
          <w:szCs w:val="24"/>
          <w:lang w:eastAsia="en-US"/>
        </w:rPr>
        <w:t xml:space="preserve"> 2) по состоянию на 1 января 2026 года 3700,0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xml:space="preserve">, в том числе по муниципальным гарантиям 0 рублей; 3) по состоянию на 1 января 2027 года 300,0 </w:t>
      </w:r>
      <w:proofErr w:type="spellStart"/>
      <w:r w:rsidRPr="00E10633">
        <w:rPr>
          <w:rFonts w:eastAsia="Calibri"/>
          <w:sz w:val="24"/>
          <w:szCs w:val="24"/>
          <w:lang w:eastAsia="en-US"/>
        </w:rPr>
        <w:t>тыс.рублей</w:t>
      </w:r>
      <w:proofErr w:type="spellEnd"/>
      <w:r w:rsidRPr="00E10633">
        <w:rPr>
          <w:rFonts w:eastAsia="Calibri"/>
          <w:sz w:val="24"/>
          <w:szCs w:val="24"/>
          <w:lang w:eastAsia="en-US"/>
        </w:rPr>
        <w:t>, в том числе по муниципальным гарантиям 0 рублей.</w:t>
      </w:r>
    </w:p>
    <w:p w14:paraId="521EE9E1" w14:textId="77777777" w:rsidR="00E10633" w:rsidRPr="00E10633" w:rsidRDefault="00E10633" w:rsidP="00E10633">
      <w:pPr>
        <w:tabs>
          <w:tab w:val="left" w:pos="284"/>
        </w:tabs>
        <w:ind w:firstLine="709"/>
        <w:jc w:val="both"/>
        <w:rPr>
          <w:rFonts w:eastAsia="Calibri"/>
          <w:sz w:val="24"/>
          <w:szCs w:val="24"/>
          <w:lang w:eastAsia="en-US"/>
        </w:rPr>
      </w:pPr>
      <w:r w:rsidRPr="00E10633">
        <w:rPr>
          <w:rFonts w:eastAsia="Calibri"/>
          <w:sz w:val="24"/>
          <w:szCs w:val="24"/>
          <w:lang w:eastAsia="en-US"/>
        </w:rPr>
        <w:t xml:space="preserve">Утвержден объем расходов на обслуживание муниципального внутреннего долга Нюксенского муниципального округа: 1) на 2024 год в сумме 150,0 тыс. рублей;2) на 2025 год в сумме 80,5 тыс. рублей;3) на 2026 год в сумме 80,5 </w:t>
      </w:r>
      <w:proofErr w:type="spellStart"/>
      <w:proofErr w:type="gramStart"/>
      <w:r w:rsidRPr="00E10633">
        <w:rPr>
          <w:rFonts w:eastAsia="Calibri"/>
          <w:sz w:val="24"/>
          <w:szCs w:val="24"/>
          <w:lang w:eastAsia="en-US"/>
        </w:rPr>
        <w:t>тыс.рублей</w:t>
      </w:r>
      <w:proofErr w:type="spellEnd"/>
      <w:proofErr w:type="gramEnd"/>
      <w:r w:rsidRPr="00E10633">
        <w:rPr>
          <w:rFonts w:eastAsia="Calibri"/>
          <w:sz w:val="24"/>
          <w:szCs w:val="24"/>
          <w:lang w:eastAsia="en-US"/>
        </w:rPr>
        <w:t>.</w:t>
      </w:r>
    </w:p>
    <w:p w14:paraId="06FF3947" w14:textId="77777777" w:rsidR="00E10633" w:rsidRPr="00E10633" w:rsidRDefault="00E10633" w:rsidP="00E10633">
      <w:pPr>
        <w:tabs>
          <w:tab w:val="left" w:pos="284"/>
        </w:tabs>
        <w:ind w:firstLine="709"/>
        <w:jc w:val="both"/>
        <w:rPr>
          <w:rFonts w:eastAsia="Calibri"/>
          <w:sz w:val="24"/>
          <w:szCs w:val="24"/>
          <w:lang w:eastAsia="en-US"/>
        </w:rPr>
      </w:pPr>
      <w:r w:rsidRPr="00E10633">
        <w:rPr>
          <w:sz w:val="24"/>
          <w:szCs w:val="24"/>
        </w:rPr>
        <w:t>Муниципальный долг Нюксенского муниципального округа по</w:t>
      </w:r>
      <w:r w:rsidRPr="00E10633">
        <w:rPr>
          <w:rFonts w:eastAsia="Calibri"/>
          <w:sz w:val="24"/>
          <w:szCs w:val="24"/>
          <w:lang w:eastAsia="en-US"/>
        </w:rPr>
        <w:t xml:space="preserve"> состоянию </w:t>
      </w:r>
      <w:r w:rsidRPr="00E10633">
        <w:rPr>
          <w:sz w:val="24"/>
          <w:szCs w:val="24"/>
        </w:rPr>
        <w:t xml:space="preserve">на 01.10.2024 года составляет 6 100,0 </w:t>
      </w:r>
      <w:proofErr w:type="spellStart"/>
      <w:proofErr w:type="gramStart"/>
      <w:r w:rsidRPr="00E10633">
        <w:rPr>
          <w:sz w:val="24"/>
          <w:szCs w:val="24"/>
        </w:rPr>
        <w:t>тыс.рублей</w:t>
      </w:r>
      <w:proofErr w:type="spellEnd"/>
      <w:proofErr w:type="gramEnd"/>
      <w:r w:rsidRPr="00E10633">
        <w:rPr>
          <w:sz w:val="24"/>
          <w:szCs w:val="24"/>
        </w:rPr>
        <w:t xml:space="preserve">. Общая сумма бюджетного кредита 9 400,0 </w:t>
      </w:r>
      <w:proofErr w:type="spellStart"/>
      <w:proofErr w:type="gramStart"/>
      <w:r w:rsidRPr="00E10633">
        <w:rPr>
          <w:sz w:val="24"/>
          <w:szCs w:val="24"/>
        </w:rPr>
        <w:t>тыс.рублей</w:t>
      </w:r>
      <w:proofErr w:type="spellEnd"/>
      <w:proofErr w:type="gramEnd"/>
      <w:r w:rsidRPr="00E10633">
        <w:rPr>
          <w:sz w:val="24"/>
          <w:szCs w:val="24"/>
        </w:rPr>
        <w:t xml:space="preserve">. Погашение бюджетного кредита осуществляется согласно программы муниципальных внутренних заимствований на очередной финансовый 2024 год.  Объем расходов на обслуживание муниципального внутреннего долга на 01.10.2024 года составили 43,8 </w:t>
      </w:r>
      <w:proofErr w:type="spellStart"/>
      <w:proofErr w:type="gramStart"/>
      <w:r w:rsidRPr="00E10633">
        <w:rPr>
          <w:sz w:val="24"/>
          <w:szCs w:val="24"/>
        </w:rPr>
        <w:t>тыс.рублей</w:t>
      </w:r>
      <w:proofErr w:type="spellEnd"/>
      <w:proofErr w:type="gramEnd"/>
      <w:r w:rsidRPr="00E10633">
        <w:rPr>
          <w:sz w:val="24"/>
          <w:szCs w:val="24"/>
        </w:rPr>
        <w:t>.</w:t>
      </w:r>
    </w:p>
    <w:p w14:paraId="084518C9" w14:textId="77777777" w:rsidR="00E10633" w:rsidRPr="00E10633" w:rsidRDefault="00E10633" w:rsidP="00E10633">
      <w:pPr>
        <w:ind w:firstLine="709"/>
        <w:jc w:val="both"/>
        <w:rPr>
          <w:sz w:val="24"/>
          <w:szCs w:val="24"/>
        </w:rPr>
      </w:pPr>
    </w:p>
    <w:p w14:paraId="70C3B2CF" w14:textId="77777777" w:rsidR="00E10633" w:rsidRPr="00E10633" w:rsidRDefault="00E10633" w:rsidP="00E10633">
      <w:pPr>
        <w:ind w:firstLine="709"/>
        <w:jc w:val="both"/>
        <w:rPr>
          <w:sz w:val="24"/>
          <w:szCs w:val="24"/>
        </w:rPr>
      </w:pPr>
      <w:r w:rsidRPr="00E10633">
        <w:rPr>
          <w:sz w:val="24"/>
          <w:szCs w:val="24"/>
        </w:rPr>
        <w:lastRenderedPageBreak/>
        <w:t>По состоянию на 30.09.2024 года фактически сложившаяся средняя численность муниципальных служащих и работников муниципальных учреждений составила - 585,8 человек, в том числе муниципальные служащие - 47,2 человека, работники муниципальных учреждений – 538,6 человек.</w:t>
      </w:r>
    </w:p>
    <w:p w14:paraId="1EAF94A8" w14:textId="77777777" w:rsidR="00E10633" w:rsidRPr="00E10633" w:rsidRDefault="00E10633" w:rsidP="00E10633">
      <w:pPr>
        <w:ind w:firstLine="709"/>
        <w:jc w:val="both"/>
        <w:rPr>
          <w:sz w:val="24"/>
          <w:szCs w:val="24"/>
        </w:rPr>
      </w:pPr>
      <w:r w:rsidRPr="00E10633">
        <w:rPr>
          <w:sz w:val="24"/>
          <w:szCs w:val="24"/>
        </w:rPr>
        <w:t>По сравнению с аналогичным периодом 2023 года фактическая среднесписочная численность муниципальных служащих уменьшилась на 2,0 человек, работников муниципальных учреждений увеличилась на 25,1 человек.</w:t>
      </w:r>
    </w:p>
    <w:p w14:paraId="50E6A269" w14:textId="77777777" w:rsidR="00E10633" w:rsidRPr="00E10633" w:rsidRDefault="00E10633" w:rsidP="00E10633">
      <w:pPr>
        <w:ind w:firstLine="709"/>
        <w:jc w:val="both"/>
        <w:rPr>
          <w:sz w:val="24"/>
          <w:szCs w:val="24"/>
        </w:rPr>
      </w:pPr>
      <w:r w:rsidRPr="00E10633">
        <w:rPr>
          <w:sz w:val="24"/>
          <w:szCs w:val="24"/>
        </w:rPr>
        <w:t xml:space="preserve">Фактические затраты на денежное содержание муниципальных служащих и работников муниципальных учреждений за 9 месяцев 2024 года составили 220 068,1 </w:t>
      </w:r>
      <w:proofErr w:type="spellStart"/>
      <w:proofErr w:type="gramStart"/>
      <w:r w:rsidRPr="00E10633">
        <w:rPr>
          <w:sz w:val="24"/>
          <w:szCs w:val="24"/>
        </w:rPr>
        <w:t>тыс.рублей</w:t>
      </w:r>
      <w:proofErr w:type="spellEnd"/>
      <w:proofErr w:type="gramEnd"/>
      <w:r w:rsidRPr="00E10633">
        <w:rPr>
          <w:sz w:val="24"/>
          <w:szCs w:val="24"/>
        </w:rPr>
        <w:t xml:space="preserve">. По сравнению с аналогичным периодом 2023 года в целом указанные расходы увеличились  на 28 588,6 </w:t>
      </w:r>
      <w:proofErr w:type="spellStart"/>
      <w:r w:rsidRPr="00E10633">
        <w:rPr>
          <w:sz w:val="24"/>
          <w:szCs w:val="24"/>
        </w:rPr>
        <w:t>тыс.рублей</w:t>
      </w:r>
      <w:proofErr w:type="spellEnd"/>
      <w:r w:rsidRPr="00E10633">
        <w:rPr>
          <w:sz w:val="24"/>
          <w:szCs w:val="24"/>
        </w:rPr>
        <w:t xml:space="preserve"> или на 15 процентов, из них: затраты на денежное содержание муниципальных служащих увеличились на 3 274,6 </w:t>
      </w:r>
      <w:proofErr w:type="spellStart"/>
      <w:r w:rsidRPr="00E10633">
        <w:rPr>
          <w:sz w:val="24"/>
          <w:szCs w:val="24"/>
        </w:rPr>
        <w:t>тыс.рублей</w:t>
      </w:r>
      <w:proofErr w:type="spellEnd"/>
      <w:r w:rsidRPr="00E10633">
        <w:rPr>
          <w:sz w:val="24"/>
          <w:szCs w:val="24"/>
        </w:rPr>
        <w:t xml:space="preserve"> и составили 22 553,8 </w:t>
      </w:r>
      <w:proofErr w:type="spellStart"/>
      <w:r w:rsidRPr="00E10633">
        <w:rPr>
          <w:sz w:val="24"/>
          <w:szCs w:val="24"/>
        </w:rPr>
        <w:t>тыс.рублей</w:t>
      </w:r>
      <w:proofErr w:type="spellEnd"/>
      <w:r w:rsidRPr="00E10633">
        <w:rPr>
          <w:sz w:val="24"/>
          <w:szCs w:val="24"/>
        </w:rPr>
        <w:t xml:space="preserve">, расходы на заработную плату работников муниципальных учреждений увеличились на 25 314,0 </w:t>
      </w:r>
      <w:proofErr w:type="spellStart"/>
      <w:r w:rsidRPr="00E10633">
        <w:rPr>
          <w:sz w:val="24"/>
          <w:szCs w:val="24"/>
        </w:rPr>
        <w:t>тыс.рублей</w:t>
      </w:r>
      <w:proofErr w:type="spellEnd"/>
      <w:r w:rsidRPr="00E10633">
        <w:rPr>
          <w:sz w:val="24"/>
          <w:szCs w:val="24"/>
        </w:rPr>
        <w:t xml:space="preserve"> и составили 197 514,3 </w:t>
      </w:r>
      <w:proofErr w:type="spellStart"/>
      <w:r w:rsidRPr="00E10633">
        <w:rPr>
          <w:sz w:val="24"/>
          <w:szCs w:val="24"/>
        </w:rPr>
        <w:t>тыс.рублей</w:t>
      </w:r>
      <w:proofErr w:type="spellEnd"/>
      <w:r w:rsidRPr="00E10633">
        <w:rPr>
          <w:sz w:val="24"/>
          <w:szCs w:val="24"/>
        </w:rPr>
        <w:t>.</w:t>
      </w:r>
    </w:p>
    <w:p w14:paraId="3AF16485" w14:textId="77777777" w:rsidR="00E10633" w:rsidRPr="00E10633" w:rsidRDefault="00E10633" w:rsidP="00E10633">
      <w:pPr>
        <w:ind w:firstLine="709"/>
        <w:jc w:val="center"/>
        <w:rPr>
          <w:b/>
          <w:bCs/>
          <w:sz w:val="24"/>
          <w:szCs w:val="24"/>
        </w:rPr>
      </w:pPr>
    </w:p>
    <w:sectPr w:rsidR="00E10633" w:rsidRPr="00E10633"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87C8A"/>
    <w:multiLevelType w:val="hybridMultilevel"/>
    <w:tmpl w:val="4EEE8F9A"/>
    <w:lvl w:ilvl="0" w:tplc="5AE0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3EA1D74"/>
    <w:lvl w:ilvl="0" w:tplc="43125F80">
      <w:start w:val="1"/>
      <w:numFmt w:val="decimal"/>
      <w:lvlText w:val="%1)"/>
      <w:lvlJc w:val="left"/>
      <w:pPr>
        <w:ind w:left="1353" w:hanging="360"/>
      </w:pPr>
      <w:rPr>
        <w:rFonts w:hint="default"/>
        <w:b w:val="0"/>
        <w:bCs/>
        <w:color w:val="08080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7D4259B"/>
    <w:multiLevelType w:val="hybridMultilevel"/>
    <w:tmpl w:val="36CC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ED30495"/>
    <w:multiLevelType w:val="hybridMultilevel"/>
    <w:tmpl w:val="5FA2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52AA7"/>
    <w:multiLevelType w:val="hybridMultilevel"/>
    <w:tmpl w:val="6EFAE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C221097"/>
    <w:multiLevelType w:val="hybridMultilevel"/>
    <w:tmpl w:val="96EEBF94"/>
    <w:lvl w:ilvl="0" w:tplc="036A5B3C">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39"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1"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2"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36"/>
  </w:num>
  <w:num w:numId="2" w16cid:durableId="117452608">
    <w:abstractNumId w:val="24"/>
  </w:num>
  <w:num w:numId="3" w16cid:durableId="1482505488">
    <w:abstractNumId w:val="12"/>
  </w:num>
  <w:num w:numId="4" w16cid:durableId="1889220925">
    <w:abstractNumId w:val="3"/>
  </w:num>
  <w:num w:numId="5" w16cid:durableId="323120651">
    <w:abstractNumId w:val="31"/>
  </w:num>
  <w:num w:numId="6" w16cid:durableId="1056197142">
    <w:abstractNumId w:val="20"/>
  </w:num>
  <w:num w:numId="7" w16cid:durableId="1497840487">
    <w:abstractNumId w:val="27"/>
  </w:num>
  <w:num w:numId="8" w16cid:durableId="264967709">
    <w:abstractNumId w:val="6"/>
  </w:num>
  <w:num w:numId="9" w16cid:durableId="290286745">
    <w:abstractNumId w:val="14"/>
  </w:num>
  <w:num w:numId="10" w16cid:durableId="698240347">
    <w:abstractNumId w:val="42"/>
  </w:num>
  <w:num w:numId="11" w16cid:durableId="1100101546">
    <w:abstractNumId w:val="9"/>
  </w:num>
  <w:num w:numId="12" w16cid:durableId="628708139">
    <w:abstractNumId w:val="40"/>
  </w:num>
  <w:num w:numId="13" w16cid:durableId="814106637">
    <w:abstractNumId w:val="38"/>
  </w:num>
  <w:num w:numId="14" w16cid:durableId="1259754728">
    <w:abstractNumId w:val="41"/>
  </w:num>
  <w:num w:numId="15" w16cid:durableId="1677806706">
    <w:abstractNumId w:val="21"/>
  </w:num>
  <w:num w:numId="16" w16cid:durableId="298657470">
    <w:abstractNumId w:val="28"/>
  </w:num>
  <w:num w:numId="17" w16cid:durableId="1613172402">
    <w:abstractNumId w:val="0"/>
  </w:num>
  <w:num w:numId="18" w16cid:durableId="2054304275">
    <w:abstractNumId w:val="33"/>
  </w:num>
  <w:num w:numId="19" w16cid:durableId="419326851">
    <w:abstractNumId w:val="7"/>
  </w:num>
  <w:num w:numId="20" w16cid:durableId="712997888">
    <w:abstractNumId w:val="15"/>
  </w:num>
  <w:num w:numId="21" w16cid:durableId="1170171990">
    <w:abstractNumId w:val="22"/>
  </w:num>
  <w:num w:numId="22" w16cid:durableId="1457866846">
    <w:abstractNumId w:val="32"/>
  </w:num>
  <w:num w:numId="23" w16cid:durableId="426312366">
    <w:abstractNumId w:val="35"/>
  </w:num>
  <w:num w:numId="24" w16cid:durableId="1047679768">
    <w:abstractNumId w:val="44"/>
  </w:num>
  <w:num w:numId="25" w16cid:durableId="1348680704">
    <w:abstractNumId w:val="37"/>
  </w:num>
  <w:num w:numId="26" w16cid:durableId="1362703653">
    <w:abstractNumId w:val="39"/>
  </w:num>
  <w:num w:numId="27" w16cid:durableId="2015571565">
    <w:abstractNumId w:val="25"/>
  </w:num>
  <w:num w:numId="28" w16cid:durableId="376197893">
    <w:abstractNumId w:val="1"/>
  </w:num>
  <w:num w:numId="29" w16cid:durableId="1003432228">
    <w:abstractNumId w:val="29"/>
  </w:num>
  <w:num w:numId="30" w16cid:durableId="1389767566">
    <w:abstractNumId w:val="10"/>
  </w:num>
  <w:num w:numId="31" w16cid:durableId="1026635302">
    <w:abstractNumId w:val="4"/>
  </w:num>
  <w:num w:numId="32" w16cid:durableId="130682461">
    <w:abstractNumId w:val="23"/>
  </w:num>
  <w:num w:numId="33" w16cid:durableId="691808608">
    <w:abstractNumId w:val="8"/>
    <w:lvlOverride w:ilvl="0"/>
    <w:lvlOverride w:ilvl="1"/>
    <w:lvlOverride w:ilvl="2"/>
    <w:lvlOverride w:ilvl="3"/>
    <w:lvlOverride w:ilvl="4"/>
    <w:lvlOverride w:ilvl="5"/>
    <w:lvlOverride w:ilvl="6"/>
    <w:lvlOverride w:ilvl="7"/>
    <w:lvlOverride w:ilvl="8"/>
  </w:num>
  <w:num w:numId="34" w16cid:durableId="245574875">
    <w:abstractNumId w:val="30"/>
  </w:num>
  <w:num w:numId="35" w16cid:durableId="375853191">
    <w:abstractNumId w:val="43"/>
  </w:num>
  <w:num w:numId="36" w16cid:durableId="820728235">
    <w:abstractNumId w:val="13"/>
  </w:num>
  <w:num w:numId="37" w16cid:durableId="1200900387">
    <w:abstractNumId w:val="5"/>
  </w:num>
  <w:num w:numId="38" w16cid:durableId="1967347429">
    <w:abstractNumId w:val="34"/>
  </w:num>
  <w:num w:numId="39" w16cid:durableId="1705210642">
    <w:abstractNumId w:val="17"/>
  </w:num>
  <w:num w:numId="40" w16cid:durableId="991103092">
    <w:abstractNumId w:val="11"/>
  </w:num>
  <w:num w:numId="41" w16cid:durableId="142354975">
    <w:abstractNumId w:val="16"/>
  </w:num>
  <w:num w:numId="42" w16cid:durableId="720443648">
    <w:abstractNumId w:val="26"/>
  </w:num>
  <w:num w:numId="43" w16cid:durableId="1155494617">
    <w:abstractNumId w:val="8"/>
  </w:num>
  <w:num w:numId="44" w16cid:durableId="1213424516">
    <w:abstractNumId w:val="19"/>
  </w:num>
  <w:num w:numId="45" w16cid:durableId="185676174">
    <w:abstractNumId w:val="2"/>
  </w:num>
  <w:num w:numId="46" w16cid:durableId="1588802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773FD"/>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5BB4"/>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0633"/>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85C71"/>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semiHidden/>
    <w:rsid w:val="00E10633"/>
  </w:style>
  <w:style w:type="paragraph" w:customStyle="1" w:styleId="affa">
    <w:name w:val=" Знак Знак Знак Знак Знак Знак"/>
    <w:basedOn w:val="a"/>
    <w:rsid w:val="00E10633"/>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2024-07-26T12:43:00Z</cp:lastPrinted>
  <dcterms:created xsi:type="dcterms:W3CDTF">2024-10-29T08:47:00Z</dcterms:created>
  <dcterms:modified xsi:type="dcterms:W3CDTF">2024-12-05T08:59:00Z</dcterms:modified>
</cp:coreProperties>
</file>