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2F13183D" w14:textId="77777777" w:rsidR="005966CE" w:rsidRPr="005966CE" w:rsidRDefault="005966CE" w:rsidP="005966CE">
      <w:pPr>
        <w:spacing w:line="240" w:lineRule="exact"/>
        <w:jc w:val="both"/>
        <w:rPr>
          <w:b/>
          <w:bCs/>
          <w:sz w:val="28"/>
          <w:szCs w:val="28"/>
        </w:rPr>
      </w:pPr>
      <w:r w:rsidRPr="005966CE">
        <w:rPr>
          <w:b/>
          <w:bCs/>
          <w:sz w:val="28"/>
          <w:szCs w:val="28"/>
        </w:rPr>
        <w:t xml:space="preserve">на проект решения Представительного Собрания Нюксенского муниципального округа Вологодской области «О внесении изменений в решение Представительного Собрания Нюксенского муниципального округа Вологодской области от 26.10.2022 года №26 «Об утверждении Положения о денежном содержании муниципальных служащих органов местного самоуправления Нюксенского муниципального округа Вологодской области» </w:t>
      </w:r>
    </w:p>
    <w:p w14:paraId="0A95AE49" w14:textId="77777777" w:rsidR="005966CE" w:rsidRPr="005966CE" w:rsidRDefault="005966CE" w:rsidP="005966CE">
      <w:pPr>
        <w:tabs>
          <w:tab w:val="left" w:pos="567"/>
        </w:tabs>
        <w:jc w:val="both"/>
        <w:rPr>
          <w:rFonts w:eastAsia="Calibri"/>
          <w:sz w:val="28"/>
          <w:szCs w:val="28"/>
          <w:lang w:eastAsia="en-US"/>
        </w:rPr>
      </w:pPr>
    </w:p>
    <w:p w14:paraId="2B4BDCFE" w14:textId="77777777" w:rsidR="005966CE" w:rsidRPr="005966CE" w:rsidRDefault="005966CE" w:rsidP="005966CE">
      <w:pPr>
        <w:tabs>
          <w:tab w:val="left" w:pos="567"/>
        </w:tabs>
        <w:ind w:firstLine="709"/>
        <w:jc w:val="both"/>
        <w:rPr>
          <w:rFonts w:eastAsia="Calibri"/>
          <w:sz w:val="28"/>
          <w:szCs w:val="28"/>
          <w:lang w:eastAsia="en-US"/>
        </w:rPr>
      </w:pPr>
      <w:r w:rsidRPr="005966CE">
        <w:rPr>
          <w:rFonts w:eastAsia="Calibri"/>
          <w:sz w:val="28"/>
          <w:szCs w:val="28"/>
          <w:lang w:eastAsia="en-US"/>
        </w:rPr>
        <w:t xml:space="preserve">На основании </w:t>
      </w:r>
      <w:hyperlink r:id="rId8" w:history="1">
        <w:r w:rsidRPr="005966CE">
          <w:rPr>
            <w:rFonts w:eastAsia="Calibri"/>
            <w:sz w:val="28"/>
            <w:szCs w:val="28"/>
            <w:lang w:eastAsia="en-US"/>
          </w:rPr>
          <w:t>пункта 7 статьи 8</w:t>
        </w:r>
      </w:hyperlink>
      <w:r w:rsidRPr="005966CE">
        <w:rPr>
          <w:rFonts w:eastAsia="Calibri"/>
          <w:sz w:val="28"/>
          <w:szCs w:val="28"/>
          <w:lang w:eastAsia="en-US"/>
        </w:rPr>
        <w:t xml:space="preserve"> Положения о Контрольно-счетной палате Нюксенского муниципального района,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проведена финансово-экономическая экспертиза </w:t>
      </w:r>
      <w:bookmarkStart w:id="0" w:name="_Hlk19638358"/>
      <w:r w:rsidRPr="005966CE">
        <w:rPr>
          <w:rFonts w:eastAsia="Calibri"/>
          <w:sz w:val="28"/>
          <w:szCs w:val="28"/>
          <w:lang w:eastAsia="en-US"/>
        </w:rPr>
        <w:t xml:space="preserve">проекта решения </w:t>
      </w:r>
      <w:bookmarkStart w:id="1" w:name="_Hlk117159013"/>
      <w:r w:rsidRPr="005966CE">
        <w:rPr>
          <w:rFonts w:eastAsia="Calibri"/>
          <w:sz w:val="28"/>
          <w:szCs w:val="28"/>
          <w:lang w:eastAsia="en-US"/>
        </w:rPr>
        <w:t xml:space="preserve">Представительного Собрания Нюксенского муниципального округа Вологодской области «Об утверждении Положения о денежном содержании муниципальных служащих органов местного самоуправления Нюксенского муниципального округа Вологодской области» </w:t>
      </w:r>
      <w:bookmarkEnd w:id="0"/>
      <w:bookmarkEnd w:id="1"/>
      <w:r w:rsidRPr="005966CE">
        <w:rPr>
          <w:rFonts w:eastAsia="Calibri"/>
          <w:sz w:val="28"/>
          <w:szCs w:val="28"/>
          <w:lang w:eastAsia="en-US"/>
        </w:rPr>
        <w:t>(далее – Проект решения).</w:t>
      </w:r>
    </w:p>
    <w:p w14:paraId="1869D823" w14:textId="77777777" w:rsidR="005966CE" w:rsidRPr="005966CE" w:rsidRDefault="005966CE" w:rsidP="005966CE">
      <w:pPr>
        <w:tabs>
          <w:tab w:val="left" w:pos="567"/>
        </w:tabs>
        <w:jc w:val="both"/>
        <w:rPr>
          <w:rFonts w:eastAsia="Calibri"/>
          <w:sz w:val="28"/>
          <w:szCs w:val="28"/>
          <w:lang w:eastAsia="en-US"/>
        </w:rPr>
      </w:pPr>
      <w:r w:rsidRPr="005966CE">
        <w:rPr>
          <w:rFonts w:eastAsia="Calibri"/>
          <w:sz w:val="28"/>
          <w:szCs w:val="28"/>
          <w:lang w:eastAsia="en-US"/>
        </w:rPr>
        <w:tab/>
        <w:t xml:space="preserve">В ходе проведения экспертизы и подготовки заключения контрольно-счетной комиссией проанализированы материалы с пояснительной запиской, представленные администрацией Нюксенского муниципального округа Вологодской области (далее – администрация округа). </w:t>
      </w:r>
    </w:p>
    <w:p w14:paraId="2F9584B7" w14:textId="77777777" w:rsidR="005966CE" w:rsidRPr="005966CE" w:rsidRDefault="005966CE" w:rsidP="005966CE">
      <w:pPr>
        <w:ind w:firstLine="709"/>
        <w:jc w:val="both"/>
        <w:rPr>
          <w:rFonts w:eastAsia="Calibri"/>
          <w:sz w:val="28"/>
          <w:szCs w:val="28"/>
          <w:lang w:eastAsia="en-US"/>
        </w:rPr>
      </w:pPr>
      <w:r w:rsidRPr="005966CE">
        <w:rPr>
          <w:rFonts w:eastAsia="Calibri"/>
          <w:sz w:val="28"/>
          <w:szCs w:val="28"/>
          <w:lang w:eastAsia="en-US"/>
        </w:rPr>
        <w:t>Проект решения подготовлен в соответствии частью 4 статьи 86 Бюджетного кодекса Российской Федерации, Трудового кодекса Российской Федерации, Федеральным законом от 06.10.2003 года №131-ФЗ «Об общих принципах организации местного самоуправления в Российской Федерации», Уставом Нюксенского муниципального округа Вологодской области и регулирует оплату труда лиц, замещающих муниципальные должности в органах местного самоуправления Нюксенского муниципального округа Вологодской области.</w:t>
      </w:r>
    </w:p>
    <w:p w14:paraId="16113DB2" w14:textId="77777777" w:rsidR="005966CE" w:rsidRPr="005966CE" w:rsidRDefault="005966CE" w:rsidP="005966CE">
      <w:pPr>
        <w:ind w:firstLine="709"/>
        <w:jc w:val="both"/>
        <w:rPr>
          <w:sz w:val="28"/>
          <w:szCs w:val="28"/>
        </w:rPr>
      </w:pPr>
    </w:p>
    <w:p w14:paraId="2E7887A5" w14:textId="77777777" w:rsidR="005966CE" w:rsidRPr="005966CE" w:rsidRDefault="005966CE" w:rsidP="005966CE">
      <w:pPr>
        <w:autoSpaceDE w:val="0"/>
        <w:autoSpaceDN w:val="0"/>
        <w:adjustRightInd w:val="0"/>
        <w:ind w:firstLine="709"/>
        <w:jc w:val="both"/>
        <w:rPr>
          <w:sz w:val="28"/>
          <w:szCs w:val="28"/>
        </w:rPr>
      </w:pPr>
      <w:r w:rsidRPr="005966CE">
        <w:rPr>
          <w:sz w:val="28"/>
          <w:szCs w:val="28"/>
        </w:rPr>
        <w:t xml:space="preserve">Проектом решения предусматривается уточнение категории и окладов должностей муниципальной службы в соответствии с Законом Вологодской области «О регулировании некоторых вопросов оплаты труда муниципальных служащих в Вологодской области» от 26.12.2007 года №1727-ОЗ (с учетом изменений и дополнений). Уточнению подлежат должности начальника отдела по мобилизационной работе, делам ГО и ЧС, защите государственной тайны и начальника отдела культуры, спорта и молодежной политики переходящие из категории «руководитель подразделения в составе структурного подразделения местной администрации» в категорию «руководитель структурного подразделения в составе местной администрации», а также внести изменения в приложения №1,2 к Положению, утвержденное решением Представительного Собрания Нюксенского муниципального округа от 26.10.2022 № 26 «Об </w:t>
      </w:r>
      <w:r w:rsidRPr="005966CE">
        <w:rPr>
          <w:sz w:val="28"/>
          <w:szCs w:val="28"/>
        </w:rPr>
        <w:lastRenderedPageBreak/>
        <w:t>утверждении Положения о денежном содержании муниципальных служащих органов местного самоуправления Нюксенского муниципального округа Вологодской области».  Согласно пояснительной записке к Проекту решения увеличение фонда оплаты труда в 2024 году не требуется.</w:t>
      </w:r>
    </w:p>
    <w:p w14:paraId="60F87E56" w14:textId="77777777" w:rsidR="005966CE" w:rsidRPr="005966CE" w:rsidRDefault="005966CE" w:rsidP="005966CE">
      <w:pPr>
        <w:autoSpaceDE w:val="0"/>
        <w:autoSpaceDN w:val="0"/>
        <w:adjustRightInd w:val="0"/>
        <w:ind w:firstLine="709"/>
        <w:jc w:val="both"/>
        <w:rPr>
          <w:sz w:val="28"/>
          <w:szCs w:val="28"/>
        </w:rPr>
      </w:pPr>
      <w:r w:rsidRPr="005966CE">
        <w:rPr>
          <w:sz w:val="28"/>
          <w:szCs w:val="28"/>
        </w:rPr>
        <w:t xml:space="preserve">На основании утвержденной структуры администрации Нюксенского муниципального округа - отдел по мобилизационной работе, делам ГО и ЧС, и отдел культуры, спорта и молодежной политики являются структурными подразделениями в составе местной администрации, соответственно и начальники данных отделов являются руководителями структурных подразделений в составе местной администрации, поэтому отсутствуют противоречия по уточнению категорий и окладов, согласно Закона Вологодской области «О регулировании некоторых вопросов оплаты труда муниципальных служащих в Вологодской области» от 26.12.2007 года №1727-ОЗ. </w:t>
      </w:r>
    </w:p>
    <w:p w14:paraId="38138854" w14:textId="77777777" w:rsidR="005966CE" w:rsidRPr="005966CE" w:rsidRDefault="005966CE" w:rsidP="005966CE">
      <w:pPr>
        <w:autoSpaceDE w:val="0"/>
        <w:autoSpaceDN w:val="0"/>
        <w:adjustRightInd w:val="0"/>
        <w:spacing w:line="276" w:lineRule="auto"/>
        <w:ind w:firstLine="709"/>
        <w:jc w:val="both"/>
        <w:rPr>
          <w:iCs/>
          <w:sz w:val="28"/>
          <w:szCs w:val="28"/>
        </w:rPr>
      </w:pPr>
      <w:r w:rsidRPr="005966CE">
        <w:rPr>
          <w:iCs/>
          <w:sz w:val="28"/>
          <w:szCs w:val="28"/>
        </w:rPr>
        <w:t>По результатам анализа представленного Проекта решения на обоснованность и соответствие действующему законодательству нарушений не установлено.</w:t>
      </w:r>
    </w:p>
    <w:p w14:paraId="6061C53F" w14:textId="77777777" w:rsidR="005966CE" w:rsidRPr="005966CE" w:rsidRDefault="005966CE" w:rsidP="005966CE">
      <w:pPr>
        <w:spacing w:line="276" w:lineRule="auto"/>
        <w:jc w:val="both"/>
        <w:rPr>
          <w:iCs/>
          <w:sz w:val="28"/>
          <w:szCs w:val="28"/>
        </w:rPr>
      </w:pPr>
      <w:r w:rsidRPr="005966CE">
        <w:rPr>
          <w:sz w:val="28"/>
          <w:szCs w:val="28"/>
        </w:rPr>
        <w:t xml:space="preserve">         </w:t>
      </w:r>
      <w:r w:rsidRPr="005966CE">
        <w:rPr>
          <w:iCs/>
          <w:sz w:val="28"/>
          <w:szCs w:val="28"/>
        </w:rPr>
        <w:t>Контрольно-счетная комиссия считает возможным рассмотреть представленный на экспертизу Проект решения Представительного Собрания Нюксенского муниципального округа «Об утверждении Положения о денежном содержании муниципальных служащих органов местного самоуправления Нюксенского муниципального округа Вологодской области» в установленном порядке.</w:t>
      </w:r>
    </w:p>
    <w:p w14:paraId="21D8EDB6" w14:textId="77777777" w:rsidR="005966CE" w:rsidRPr="005966CE" w:rsidRDefault="005966CE" w:rsidP="005966CE">
      <w:pPr>
        <w:spacing w:line="276" w:lineRule="auto"/>
        <w:ind w:firstLine="709"/>
        <w:jc w:val="both"/>
        <w:rPr>
          <w:sz w:val="28"/>
          <w:szCs w:val="28"/>
        </w:rPr>
      </w:pPr>
    </w:p>
    <w:p w14:paraId="33E319DA" w14:textId="77777777" w:rsidR="00471CF9" w:rsidRPr="00471CF9" w:rsidRDefault="00471CF9" w:rsidP="005042B0">
      <w:pPr>
        <w:jc w:val="center"/>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3" w15:restartNumberingAfterBreak="0">
    <w:nsid w:val="447E5186"/>
    <w:multiLevelType w:val="hybridMultilevel"/>
    <w:tmpl w:val="B492D37C"/>
    <w:lvl w:ilvl="0" w:tplc="E312DDA4">
      <w:start w:val="4"/>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7"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8"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1"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2"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25"/>
  </w:num>
  <w:num w:numId="2" w16cid:durableId="2044209468">
    <w:abstractNumId w:val="36"/>
  </w:num>
  <w:num w:numId="3" w16cid:durableId="1677733923">
    <w:abstractNumId w:val="24"/>
  </w:num>
  <w:num w:numId="4" w16cid:durableId="262802833">
    <w:abstractNumId w:val="12"/>
  </w:num>
  <w:num w:numId="5" w16cid:durableId="348803022">
    <w:abstractNumId w:val="2"/>
  </w:num>
  <w:num w:numId="6" w16cid:durableId="47150083">
    <w:abstractNumId w:val="30"/>
  </w:num>
  <w:num w:numId="7" w16cid:durableId="1245409480">
    <w:abstractNumId w:val="17"/>
  </w:num>
  <w:num w:numId="8" w16cid:durableId="1658337395">
    <w:abstractNumId w:val="26"/>
  </w:num>
  <w:num w:numId="9" w16cid:durableId="1670674894">
    <w:abstractNumId w:val="5"/>
  </w:num>
  <w:num w:numId="10" w16cid:durableId="763766382">
    <w:abstractNumId w:val="14"/>
  </w:num>
  <w:num w:numId="11" w16cid:durableId="162405487">
    <w:abstractNumId w:val="42"/>
  </w:num>
  <w:num w:numId="12" w16cid:durableId="1351445057">
    <w:abstractNumId w:val="10"/>
  </w:num>
  <w:num w:numId="13" w16cid:durableId="341981738">
    <w:abstractNumId w:val="40"/>
  </w:num>
  <w:num w:numId="14" w16cid:durableId="1605461828">
    <w:abstractNumId w:val="39"/>
  </w:num>
  <w:num w:numId="15" w16cid:durableId="1776945738">
    <w:abstractNumId w:val="41"/>
  </w:num>
  <w:num w:numId="16" w16cid:durableId="673260902">
    <w:abstractNumId w:val="20"/>
  </w:num>
  <w:num w:numId="17" w16cid:durableId="1655337278">
    <w:abstractNumId w:val="27"/>
  </w:num>
  <w:num w:numId="18" w16cid:durableId="1993217827">
    <w:abstractNumId w:val="0"/>
  </w:num>
  <w:num w:numId="19" w16cid:durableId="2001763236">
    <w:abstractNumId w:val="32"/>
  </w:num>
  <w:num w:numId="20" w16cid:durableId="618873667">
    <w:abstractNumId w:val="8"/>
  </w:num>
  <w:num w:numId="21" w16cid:durableId="159084494">
    <w:abstractNumId w:val="15"/>
  </w:num>
  <w:num w:numId="22" w16cid:durableId="1111512360">
    <w:abstractNumId w:val="21"/>
  </w:num>
  <w:num w:numId="23" w16cid:durableId="1148861343">
    <w:abstractNumId w:val="31"/>
  </w:num>
  <w:num w:numId="24" w16cid:durableId="1730614503">
    <w:abstractNumId w:val="35"/>
  </w:num>
  <w:num w:numId="25" w16cid:durableId="863323967">
    <w:abstractNumId w:val="3"/>
  </w:num>
  <w:num w:numId="26" w16cid:durableId="92289658">
    <w:abstractNumId w:val="22"/>
  </w:num>
  <w:num w:numId="27" w16cid:durableId="263997548">
    <w:abstractNumId w:val="9"/>
  </w:num>
  <w:num w:numId="28" w16cid:durableId="646516128">
    <w:abstractNumId w:val="29"/>
  </w:num>
  <w:num w:numId="29" w16cid:durableId="1490756512">
    <w:abstractNumId w:val="43"/>
  </w:num>
  <w:num w:numId="30" w16cid:durableId="1619995084">
    <w:abstractNumId w:val="13"/>
  </w:num>
  <w:num w:numId="31" w16cid:durableId="838156416">
    <w:abstractNumId w:val="4"/>
  </w:num>
  <w:num w:numId="32" w16cid:durableId="566456227">
    <w:abstractNumId w:val="33"/>
  </w:num>
  <w:num w:numId="33" w16cid:durableId="275335731">
    <w:abstractNumId w:val="16"/>
  </w:num>
  <w:num w:numId="34" w16cid:durableId="1526864057">
    <w:abstractNumId w:val="11"/>
  </w:num>
  <w:num w:numId="35" w16cid:durableId="1300186942">
    <w:abstractNumId w:val="38"/>
  </w:num>
  <w:num w:numId="36" w16cid:durableId="1928882323">
    <w:abstractNumId w:val="6"/>
  </w:num>
  <w:num w:numId="37" w16cid:durableId="599333128">
    <w:abstractNumId w:val="19"/>
  </w:num>
  <w:num w:numId="38" w16cid:durableId="478619129">
    <w:abstractNumId w:val="1"/>
  </w:num>
  <w:num w:numId="39" w16cid:durableId="1283225375">
    <w:abstractNumId w:val="7"/>
  </w:num>
  <w:num w:numId="40" w16cid:durableId="1155102817">
    <w:abstractNumId w:val="34"/>
  </w:num>
  <w:num w:numId="41" w16cid:durableId="427695517">
    <w:abstractNumId w:val="37"/>
  </w:num>
  <w:num w:numId="42" w16cid:durableId="899831897">
    <w:abstractNumId w:val="28"/>
  </w:num>
  <w:num w:numId="43" w16cid:durableId="587232981">
    <w:abstractNumId w:val="18"/>
  </w:num>
  <w:num w:numId="44" w16cid:durableId="14914045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966C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
    <w:name w:val="Основной текст (2)_"/>
    <w:basedOn w:val="a0"/>
    <w:link w:val="20"/>
    <w:rsid w:val="00E655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1">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2">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3">
    <w:name w:val="Body Text 2"/>
    <w:basedOn w:val="a"/>
    <w:link w:val="24"/>
    <w:uiPriority w:val="99"/>
    <w:semiHidden/>
    <w:rsid w:val="00471CF9"/>
    <w:pPr>
      <w:spacing w:after="120" w:line="480" w:lineRule="auto"/>
    </w:pPr>
    <w:rPr>
      <w:rFonts w:eastAsia="Calibri"/>
      <w:sz w:val="24"/>
      <w:szCs w:val="24"/>
    </w:rPr>
  </w:style>
  <w:style w:type="character" w:customStyle="1" w:styleId="24">
    <w:name w:val="Основной текст 2 Знак"/>
    <w:basedOn w:val="a0"/>
    <w:link w:val="23"/>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5">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2024-07-26T12:43:00Z</cp:lastPrinted>
  <dcterms:created xsi:type="dcterms:W3CDTF">2024-07-26T12:39:00Z</dcterms:created>
  <dcterms:modified xsi:type="dcterms:W3CDTF">2024-07-26T13:14:00Z</dcterms:modified>
</cp:coreProperties>
</file>