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4E979120" w14:textId="77777777" w:rsidR="00F11044" w:rsidRPr="00F11044" w:rsidRDefault="00F11044" w:rsidP="00F11044">
      <w:pPr>
        <w:spacing w:line="240" w:lineRule="exact"/>
        <w:jc w:val="both"/>
        <w:rPr>
          <w:sz w:val="22"/>
          <w:szCs w:val="22"/>
        </w:rPr>
      </w:pPr>
      <w:bookmarkStart w:id="0" w:name="_Hlk125622375"/>
      <w:r w:rsidRPr="00F11044">
        <w:rPr>
          <w:sz w:val="22"/>
          <w:szCs w:val="22"/>
        </w:rPr>
        <w:t>на проект решения 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от 15.12.2023 № 108 «О бюджете Нюксенского муниципального округа Вологодской области на 2024 год и плановый период 2025 и 2026 годов»</w:t>
      </w:r>
    </w:p>
    <w:p w14:paraId="27A765CC" w14:textId="77777777" w:rsidR="00F11044" w:rsidRPr="00F11044" w:rsidRDefault="00F11044" w:rsidP="00F11044">
      <w:pPr>
        <w:rPr>
          <w:b/>
          <w:bCs/>
          <w:sz w:val="24"/>
          <w:szCs w:val="24"/>
        </w:rPr>
      </w:pPr>
    </w:p>
    <w:p w14:paraId="7CD5DF18" w14:textId="77777777" w:rsidR="00F11044" w:rsidRPr="00F11044" w:rsidRDefault="00F11044" w:rsidP="00F11044">
      <w:pPr>
        <w:autoSpaceDE w:val="0"/>
        <w:autoSpaceDN w:val="0"/>
        <w:adjustRightInd w:val="0"/>
        <w:ind w:firstLine="709"/>
        <w:jc w:val="both"/>
        <w:outlineLvl w:val="0"/>
        <w:rPr>
          <w:sz w:val="24"/>
          <w:szCs w:val="24"/>
        </w:rPr>
      </w:pPr>
      <w:r w:rsidRPr="00F11044">
        <w:rPr>
          <w:sz w:val="24"/>
          <w:szCs w:val="24"/>
        </w:rPr>
        <w:t>Проект решения внесен администрацией округа на рассмотрение Представительному Собранию Нюксенского муниципального округа в соответствии со статьей 185 Бюджетного кодекса РФ и со статьей 4.5 Положения о бюджетном процессе.</w:t>
      </w:r>
    </w:p>
    <w:p w14:paraId="33DCA43D" w14:textId="77777777" w:rsidR="00F11044" w:rsidRPr="00F11044" w:rsidRDefault="00F11044" w:rsidP="00F11044">
      <w:pPr>
        <w:autoSpaceDE w:val="0"/>
        <w:autoSpaceDN w:val="0"/>
        <w:adjustRightInd w:val="0"/>
        <w:ind w:firstLine="709"/>
        <w:jc w:val="both"/>
        <w:outlineLvl w:val="0"/>
        <w:rPr>
          <w:sz w:val="24"/>
          <w:szCs w:val="24"/>
        </w:rPr>
      </w:pPr>
      <w:r w:rsidRPr="00F11044">
        <w:rPr>
          <w:sz w:val="24"/>
          <w:szCs w:val="24"/>
        </w:rPr>
        <w:t>Проект представлен в соответствии с требованиями статьи 4.5.1. Положения о бюджетном процессе с пояснительной запиской к проекту, приложениями, документами.</w:t>
      </w:r>
    </w:p>
    <w:p w14:paraId="32959034" w14:textId="77777777" w:rsidR="00F11044" w:rsidRPr="00F11044" w:rsidRDefault="00F11044" w:rsidP="00F11044">
      <w:pPr>
        <w:tabs>
          <w:tab w:val="left" w:pos="567"/>
          <w:tab w:val="left" w:pos="18286"/>
        </w:tabs>
        <w:ind w:right="172" w:firstLine="709"/>
        <w:jc w:val="both"/>
        <w:rPr>
          <w:sz w:val="24"/>
          <w:szCs w:val="24"/>
        </w:rPr>
      </w:pPr>
      <w:r w:rsidRPr="00F11044">
        <w:rPr>
          <w:sz w:val="24"/>
          <w:szCs w:val="24"/>
        </w:rPr>
        <w:t>Рассматриваемый Проект решения с приложениями №1,2,3,4,5,6,7 и пояснительной запиской к нему поступил в Контрольно-счетную комиссию 05.07.2024 года входящий номер №.2810.</w:t>
      </w:r>
    </w:p>
    <w:p w14:paraId="2EC9DEC7" w14:textId="77777777" w:rsidR="00F11044" w:rsidRPr="00F11044" w:rsidRDefault="00F11044" w:rsidP="00F11044">
      <w:pPr>
        <w:autoSpaceDE w:val="0"/>
        <w:autoSpaceDN w:val="0"/>
        <w:adjustRightInd w:val="0"/>
        <w:ind w:firstLine="709"/>
        <w:jc w:val="both"/>
        <w:outlineLvl w:val="0"/>
        <w:rPr>
          <w:sz w:val="24"/>
          <w:szCs w:val="24"/>
        </w:rPr>
      </w:pPr>
      <w:r w:rsidRPr="00F11044">
        <w:rPr>
          <w:sz w:val="24"/>
          <w:szCs w:val="24"/>
        </w:rPr>
        <w:t>Согласно пояснительной записке, проект разработан и подготовлен в целях уточнения годовых плановых показателей по доходам и расходам бюджета Нюксенского муниципального округа (далее-бюджет округа), утвержденных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(далее – Проект решения).</w:t>
      </w:r>
    </w:p>
    <w:p w14:paraId="11744180" w14:textId="77777777" w:rsidR="00F11044" w:rsidRPr="00F11044" w:rsidRDefault="00F11044" w:rsidP="00F11044">
      <w:pPr>
        <w:autoSpaceDE w:val="0"/>
        <w:autoSpaceDN w:val="0"/>
        <w:adjustRightInd w:val="0"/>
        <w:ind w:firstLine="709"/>
        <w:jc w:val="both"/>
        <w:rPr>
          <w:sz w:val="24"/>
          <w:szCs w:val="24"/>
        </w:rPr>
      </w:pPr>
      <w:r w:rsidRPr="00F11044">
        <w:rPr>
          <w:sz w:val="24"/>
          <w:szCs w:val="24"/>
        </w:rPr>
        <w:t xml:space="preserve">Проектом решения вносятся изменения в текстовую часть, 1,2,3,4,5,6,7 приложения из 7 утвержденных, дополнив и изложив их в новой редакции. </w:t>
      </w:r>
    </w:p>
    <w:p w14:paraId="340190BC" w14:textId="3876044C" w:rsidR="00F11044" w:rsidRPr="00F11044" w:rsidRDefault="00F11044" w:rsidP="00F11044">
      <w:pPr>
        <w:tabs>
          <w:tab w:val="left" w:pos="567"/>
        </w:tabs>
        <w:ind w:firstLine="709"/>
        <w:rPr>
          <w:sz w:val="24"/>
          <w:szCs w:val="24"/>
        </w:rPr>
      </w:pPr>
      <w:r w:rsidRPr="00F11044">
        <w:rPr>
          <w:sz w:val="24"/>
          <w:szCs w:val="24"/>
        </w:rPr>
        <w:t xml:space="preserve">Поправки в бюджет округа </w:t>
      </w:r>
      <w:r w:rsidRPr="00F11044">
        <w:rPr>
          <w:sz w:val="24"/>
          <w:szCs w:val="24"/>
        </w:rPr>
        <w:t>вносятся во</w:t>
      </w:r>
      <w:r w:rsidRPr="00F11044">
        <w:rPr>
          <w:sz w:val="24"/>
          <w:szCs w:val="24"/>
        </w:rPr>
        <w:t>-второй раз.</w:t>
      </w:r>
    </w:p>
    <w:p w14:paraId="3B1A4FD8" w14:textId="77777777" w:rsidR="00F11044" w:rsidRPr="00F11044" w:rsidRDefault="00F11044" w:rsidP="00F11044">
      <w:pPr>
        <w:tabs>
          <w:tab w:val="left" w:pos="567"/>
        </w:tabs>
        <w:ind w:firstLine="709"/>
        <w:jc w:val="both"/>
        <w:rPr>
          <w:sz w:val="24"/>
          <w:szCs w:val="24"/>
        </w:rPr>
      </w:pPr>
      <w:r w:rsidRPr="00F11044">
        <w:rPr>
          <w:sz w:val="24"/>
          <w:szCs w:val="24"/>
        </w:rPr>
        <w:t>Корректировка параметров бюджета округа на 2024 год и плановый период 2025 и 2026 годов вызвана внесением изменений в части межбюджетных трансфертов из областного бюджета, расходов капитального характера и обеспечения деятельности учреждений бюджетной сферы за счет средств дотации и перераспределения средств между статьями расходов бюджета.</w:t>
      </w:r>
    </w:p>
    <w:p w14:paraId="7B75D93F" w14:textId="77777777" w:rsidR="00F11044" w:rsidRPr="00F11044" w:rsidRDefault="00F11044" w:rsidP="00F11044">
      <w:pPr>
        <w:ind w:firstLine="709"/>
        <w:jc w:val="both"/>
        <w:rPr>
          <w:sz w:val="24"/>
          <w:szCs w:val="24"/>
        </w:rPr>
      </w:pPr>
      <w:r w:rsidRPr="00F11044">
        <w:rPr>
          <w:sz w:val="24"/>
          <w:szCs w:val="24"/>
        </w:rPr>
        <w:t>С учетом планируемых изменений основные характеристики бюджета округа.</w:t>
      </w:r>
    </w:p>
    <w:p w14:paraId="731C4689" w14:textId="77777777" w:rsidR="00F11044" w:rsidRPr="00F11044" w:rsidRDefault="00F11044" w:rsidP="00F11044">
      <w:pPr>
        <w:ind w:firstLine="709"/>
        <w:contextualSpacing/>
        <w:jc w:val="both"/>
        <w:rPr>
          <w:sz w:val="24"/>
          <w:szCs w:val="24"/>
        </w:rPr>
      </w:pPr>
      <w:r w:rsidRPr="00F11044">
        <w:rPr>
          <w:b/>
          <w:sz w:val="24"/>
          <w:szCs w:val="24"/>
        </w:rPr>
        <w:t xml:space="preserve">Доходы </w:t>
      </w:r>
      <w:r w:rsidRPr="00F11044">
        <w:rPr>
          <w:sz w:val="24"/>
          <w:szCs w:val="24"/>
        </w:rPr>
        <w:t>бюджета округа на 2024 год увеличены на 52 591,8 тыс. руб., в том числе:</w:t>
      </w:r>
    </w:p>
    <w:p w14:paraId="1ECAF154" w14:textId="77777777" w:rsidR="00F11044" w:rsidRPr="00F11044" w:rsidRDefault="00F11044" w:rsidP="00F11044">
      <w:pPr>
        <w:ind w:firstLine="709"/>
        <w:contextualSpacing/>
        <w:jc w:val="both"/>
        <w:rPr>
          <w:sz w:val="24"/>
          <w:szCs w:val="24"/>
        </w:rPr>
      </w:pPr>
      <w:r w:rsidRPr="00F11044">
        <w:rPr>
          <w:sz w:val="24"/>
          <w:szCs w:val="24"/>
        </w:rPr>
        <w:t>- за счет уменьшения налоговых и неналоговых доходов на сумму 10 133,2 тыс. рублей;</w:t>
      </w:r>
    </w:p>
    <w:p w14:paraId="6A98EB38" w14:textId="77777777" w:rsidR="00F11044" w:rsidRPr="00F11044" w:rsidRDefault="00F11044" w:rsidP="00F11044">
      <w:pPr>
        <w:ind w:firstLine="709"/>
        <w:contextualSpacing/>
        <w:jc w:val="both"/>
        <w:rPr>
          <w:sz w:val="24"/>
          <w:szCs w:val="24"/>
        </w:rPr>
      </w:pPr>
      <w:r w:rsidRPr="00F11044">
        <w:rPr>
          <w:sz w:val="24"/>
          <w:szCs w:val="24"/>
        </w:rPr>
        <w:t>- за счет увеличения безвозмездных поступлений от других бюджетов бюджетной системы Российской Федерации на сумму 62 725,0 тыс. рублей.</w:t>
      </w:r>
    </w:p>
    <w:p w14:paraId="0784BD08" w14:textId="77777777" w:rsidR="00F11044" w:rsidRPr="00F11044" w:rsidRDefault="00F11044" w:rsidP="00F11044">
      <w:pPr>
        <w:ind w:firstLine="709"/>
        <w:jc w:val="both"/>
        <w:rPr>
          <w:bCs/>
          <w:sz w:val="24"/>
          <w:szCs w:val="24"/>
        </w:rPr>
      </w:pPr>
      <w:r w:rsidRPr="00F11044">
        <w:rPr>
          <w:b/>
          <w:bCs/>
          <w:sz w:val="24"/>
          <w:szCs w:val="24"/>
        </w:rPr>
        <w:t xml:space="preserve">Расходы </w:t>
      </w:r>
      <w:r w:rsidRPr="00F11044">
        <w:rPr>
          <w:bCs/>
          <w:sz w:val="24"/>
          <w:szCs w:val="24"/>
        </w:rPr>
        <w:t xml:space="preserve">местного бюджета в </w:t>
      </w:r>
      <w:r w:rsidRPr="00F11044">
        <w:rPr>
          <w:b/>
          <w:bCs/>
          <w:sz w:val="24"/>
          <w:szCs w:val="24"/>
        </w:rPr>
        <w:t>2024</w:t>
      </w:r>
      <w:r w:rsidRPr="00F11044">
        <w:rPr>
          <w:bCs/>
          <w:sz w:val="24"/>
          <w:szCs w:val="24"/>
        </w:rPr>
        <w:t xml:space="preserve"> году в целом предлагается увеличить на 47491,8 тыс. рублей, в том числе:</w:t>
      </w:r>
    </w:p>
    <w:p w14:paraId="0A548EC9" w14:textId="77777777" w:rsidR="00F11044" w:rsidRPr="00F11044" w:rsidRDefault="00F11044" w:rsidP="00F11044">
      <w:pPr>
        <w:ind w:firstLine="709"/>
        <w:jc w:val="both"/>
        <w:rPr>
          <w:bCs/>
          <w:sz w:val="24"/>
          <w:szCs w:val="24"/>
        </w:rPr>
      </w:pPr>
      <w:r w:rsidRPr="00F11044">
        <w:rPr>
          <w:bCs/>
          <w:sz w:val="24"/>
          <w:szCs w:val="24"/>
        </w:rPr>
        <w:t xml:space="preserve">за счет безвозмездных поступлений в виде субсидий, субвенций, дотаций из областного </w:t>
      </w:r>
      <w:proofErr w:type="gramStart"/>
      <w:r w:rsidRPr="00F11044">
        <w:rPr>
          <w:bCs/>
          <w:sz w:val="24"/>
          <w:szCs w:val="24"/>
        </w:rPr>
        <w:t>бюджета  в</w:t>
      </w:r>
      <w:proofErr w:type="gramEnd"/>
      <w:r w:rsidRPr="00F11044">
        <w:rPr>
          <w:bCs/>
          <w:sz w:val="24"/>
          <w:szCs w:val="24"/>
        </w:rPr>
        <w:t xml:space="preserve"> сумме 46691,8 тыс. рублей;</w:t>
      </w:r>
    </w:p>
    <w:p w14:paraId="68F6754E" w14:textId="77777777" w:rsidR="00F11044" w:rsidRPr="00F11044" w:rsidRDefault="00F11044" w:rsidP="00F11044">
      <w:pPr>
        <w:ind w:firstLine="709"/>
        <w:jc w:val="both"/>
        <w:rPr>
          <w:bCs/>
          <w:sz w:val="24"/>
          <w:szCs w:val="24"/>
        </w:rPr>
      </w:pPr>
      <w:r w:rsidRPr="00F11044">
        <w:rPr>
          <w:bCs/>
          <w:sz w:val="24"/>
          <w:szCs w:val="24"/>
        </w:rPr>
        <w:t xml:space="preserve">за счет средств безвозмездной помощи от юридических лиц 800,0 </w:t>
      </w:r>
      <w:proofErr w:type="spellStart"/>
      <w:proofErr w:type="gramStart"/>
      <w:r w:rsidRPr="00F11044">
        <w:rPr>
          <w:bCs/>
          <w:sz w:val="24"/>
          <w:szCs w:val="24"/>
        </w:rPr>
        <w:t>тыс.рублей</w:t>
      </w:r>
      <w:proofErr w:type="spellEnd"/>
      <w:proofErr w:type="gramEnd"/>
      <w:r w:rsidRPr="00F11044">
        <w:rPr>
          <w:bCs/>
          <w:sz w:val="24"/>
          <w:szCs w:val="24"/>
        </w:rPr>
        <w:t>.</w:t>
      </w:r>
    </w:p>
    <w:p w14:paraId="51FF2BB1" w14:textId="77777777" w:rsidR="00F11044" w:rsidRPr="00F11044" w:rsidRDefault="00F11044" w:rsidP="00F11044">
      <w:pPr>
        <w:ind w:firstLine="709"/>
        <w:jc w:val="both"/>
        <w:rPr>
          <w:sz w:val="24"/>
          <w:szCs w:val="24"/>
        </w:rPr>
      </w:pPr>
      <w:r w:rsidRPr="00F11044">
        <w:rPr>
          <w:b/>
          <w:bCs/>
          <w:sz w:val="24"/>
          <w:szCs w:val="24"/>
        </w:rPr>
        <w:t>Размер дефицита бюджета округа</w:t>
      </w:r>
      <w:r w:rsidRPr="00F11044">
        <w:rPr>
          <w:sz w:val="24"/>
          <w:szCs w:val="24"/>
        </w:rPr>
        <w:t xml:space="preserve"> на </w:t>
      </w:r>
      <w:r w:rsidRPr="00F11044">
        <w:rPr>
          <w:b/>
          <w:bCs/>
          <w:sz w:val="24"/>
          <w:szCs w:val="24"/>
        </w:rPr>
        <w:t>2024</w:t>
      </w:r>
      <w:r w:rsidRPr="00F11044">
        <w:rPr>
          <w:sz w:val="24"/>
          <w:szCs w:val="24"/>
        </w:rPr>
        <w:t xml:space="preserve"> год утверждается в сумме 23288,8 тыс. рублей, что соответствует требованиям статьи 92.1 Бюджетного кодекса Российской Федерации. </w:t>
      </w:r>
    </w:p>
    <w:p w14:paraId="453C16E4" w14:textId="77777777" w:rsidR="00F11044" w:rsidRPr="00F11044" w:rsidRDefault="00F11044" w:rsidP="00F11044">
      <w:pPr>
        <w:ind w:firstLine="709"/>
        <w:jc w:val="both"/>
        <w:rPr>
          <w:sz w:val="24"/>
          <w:szCs w:val="24"/>
        </w:rPr>
      </w:pPr>
      <w:r w:rsidRPr="00F11044">
        <w:rPr>
          <w:b/>
          <w:bCs/>
          <w:sz w:val="24"/>
          <w:szCs w:val="24"/>
        </w:rPr>
        <w:t>Доходы</w:t>
      </w:r>
      <w:r w:rsidRPr="00F11044">
        <w:rPr>
          <w:sz w:val="24"/>
          <w:szCs w:val="24"/>
        </w:rPr>
        <w:t xml:space="preserve"> бюджета округа на </w:t>
      </w:r>
      <w:r w:rsidRPr="00F11044">
        <w:rPr>
          <w:b/>
          <w:bCs/>
          <w:sz w:val="24"/>
          <w:szCs w:val="24"/>
        </w:rPr>
        <w:t xml:space="preserve">2025 </w:t>
      </w:r>
      <w:r w:rsidRPr="00F11044">
        <w:rPr>
          <w:sz w:val="24"/>
          <w:szCs w:val="24"/>
        </w:rPr>
        <w:t>год планируется увеличить на 110178,0 тыс. рублей до 773 429,0 тыс. рублей за счет увеличения безвозмездных поступлений.</w:t>
      </w:r>
    </w:p>
    <w:p w14:paraId="2D4710C1" w14:textId="77777777" w:rsidR="00F11044" w:rsidRPr="00F11044" w:rsidRDefault="00F11044" w:rsidP="00F11044">
      <w:pPr>
        <w:ind w:firstLine="709"/>
        <w:jc w:val="both"/>
        <w:rPr>
          <w:sz w:val="24"/>
          <w:szCs w:val="24"/>
        </w:rPr>
      </w:pPr>
      <w:r w:rsidRPr="00F11044">
        <w:rPr>
          <w:b/>
          <w:bCs/>
          <w:sz w:val="24"/>
          <w:szCs w:val="24"/>
        </w:rPr>
        <w:t>Доходы</w:t>
      </w:r>
      <w:r w:rsidRPr="00F11044">
        <w:rPr>
          <w:sz w:val="24"/>
          <w:szCs w:val="24"/>
        </w:rPr>
        <w:t xml:space="preserve"> бюджета округа на </w:t>
      </w:r>
      <w:r w:rsidRPr="00F11044">
        <w:rPr>
          <w:b/>
          <w:bCs/>
          <w:sz w:val="24"/>
          <w:szCs w:val="24"/>
        </w:rPr>
        <w:t>2026</w:t>
      </w:r>
      <w:r w:rsidRPr="00F11044">
        <w:rPr>
          <w:sz w:val="24"/>
          <w:szCs w:val="24"/>
        </w:rPr>
        <w:t xml:space="preserve"> год </w:t>
      </w:r>
      <w:bookmarkStart w:id="1" w:name="_Hlk139966995"/>
      <w:r w:rsidRPr="00F11044">
        <w:rPr>
          <w:sz w:val="24"/>
          <w:szCs w:val="24"/>
        </w:rPr>
        <w:t>планируется увеличить на 6782,9 тыс. рублей до 654 947,1 тыс. рублей за счет увеличения безвозмездных поступлений</w:t>
      </w:r>
      <w:bookmarkEnd w:id="1"/>
      <w:r w:rsidRPr="00F11044">
        <w:rPr>
          <w:sz w:val="24"/>
          <w:szCs w:val="24"/>
        </w:rPr>
        <w:t>.</w:t>
      </w:r>
    </w:p>
    <w:p w14:paraId="1A5A937B" w14:textId="77777777" w:rsidR="00F11044" w:rsidRPr="00F11044" w:rsidRDefault="00F11044" w:rsidP="00F11044">
      <w:pPr>
        <w:ind w:firstLine="709"/>
        <w:jc w:val="both"/>
        <w:rPr>
          <w:sz w:val="24"/>
          <w:szCs w:val="24"/>
        </w:rPr>
      </w:pPr>
      <w:r w:rsidRPr="00F11044">
        <w:rPr>
          <w:b/>
          <w:bCs/>
          <w:sz w:val="24"/>
          <w:szCs w:val="24"/>
        </w:rPr>
        <w:t>Расходы</w:t>
      </w:r>
      <w:r w:rsidRPr="00F11044">
        <w:rPr>
          <w:sz w:val="24"/>
          <w:szCs w:val="24"/>
        </w:rPr>
        <w:t xml:space="preserve"> бюджета на </w:t>
      </w:r>
      <w:r w:rsidRPr="00F11044">
        <w:rPr>
          <w:b/>
          <w:bCs/>
          <w:sz w:val="24"/>
          <w:szCs w:val="24"/>
        </w:rPr>
        <w:t xml:space="preserve">2025 </w:t>
      </w:r>
      <w:r w:rsidRPr="00F11044">
        <w:rPr>
          <w:sz w:val="24"/>
          <w:szCs w:val="24"/>
        </w:rPr>
        <w:t>год предлагается увеличить на 110178,0 тыс. рублей до 773 429,0 тыс. рублей за счет увеличения безвозмездных поступлений.</w:t>
      </w:r>
    </w:p>
    <w:p w14:paraId="1FD8A795" w14:textId="77777777" w:rsidR="00F11044" w:rsidRPr="00F11044" w:rsidRDefault="00F11044" w:rsidP="00F11044">
      <w:pPr>
        <w:ind w:firstLine="709"/>
        <w:jc w:val="both"/>
        <w:rPr>
          <w:sz w:val="24"/>
          <w:szCs w:val="24"/>
        </w:rPr>
      </w:pPr>
      <w:r w:rsidRPr="00F11044">
        <w:rPr>
          <w:b/>
          <w:bCs/>
          <w:sz w:val="24"/>
          <w:szCs w:val="24"/>
        </w:rPr>
        <w:t>Расходы</w:t>
      </w:r>
      <w:r w:rsidRPr="00F11044">
        <w:rPr>
          <w:sz w:val="24"/>
          <w:szCs w:val="24"/>
        </w:rPr>
        <w:t xml:space="preserve"> бюджета на </w:t>
      </w:r>
      <w:r w:rsidRPr="00F11044">
        <w:rPr>
          <w:b/>
          <w:bCs/>
          <w:sz w:val="24"/>
          <w:szCs w:val="24"/>
        </w:rPr>
        <w:t>2026</w:t>
      </w:r>
      <w:r w:rsidRPr="00F11044">
        <w:rPr>
          <w:sz w:val="24"/>
          <w:szCs w:val="24"/>
        </w:rPr>
        <w:t xml:space="preserve"> год планируется увеличить на 6782,9 тыс. рублей до 654 947,1 тыс. рублей за счет увеличения безвозмездных поступлений.</w:t>
      </w:r>
    </w:p>
    <w:p w14:paraId="00DBA19C" w14:textId="77777777" w:rsidR="00F11044" w:rsidRPr="00F11044" w:rsidRDefault="00F11044" w:rsidP="00F11044">
      <w:pPr>
        <w:ind w:firstLine="709"/>
        <w:jc w:val="both"/>
        <w:rPr>
          <w:sz w:val="24"/>
          <w:szCs w:val="24"/>
        </w:rPr>
      </w:pPr>
      <w:r w:rsidRPr="00F11044">
        <w:rPr>
          <w:sz w:val="24"/>
          <w:szCs w:val="24"/>
        </w:rPr>
        <w:t xml:space="preserve">С учетом изменений объём </w:t>
      </w:r>
      <w:r w:rsidRPr="00F11044">
        <w:rPr>
          <w:b/>
          <w:bCs/>
          <w:sz w:val="24"/>
          <w:szCs w:val="24"/>
        </w:rPr>
        <w:t>безвозмездных поступлений</w:t>
      </w:r>
      <w:r w:rsidRPr="00F11044">
        <w:rPr>
          <w:sz w:val="24"/>
          <w:szCs w:val="24"/>
        </w:rPr>
        <w:t xml:space="preserve"> составит в </w:t>
      </w:r>
      <w:r w:rsidRPr="00F11044">
        <w:rPr>
          <w:b/>
          <w:bCs/>
          <w:sz w:val="24"/>
          <w:szCs w:val="24"/>
        </w:rPr>
        <w:t>2024</w:t>
      </w:r>
      <w:r w:rsidRPr="00F11044">
        <w:rPr>
          <w:sz w:val="24"/>
          <w:szCs w:val="24"/>
        </w:rPr>
        <w:t xml:space="preserve"> году 1 459 658,5 тыс. рублей.</w:t>
      </w:r>
    </w:p>
    <w:p w14:paraId="298CD69A" w14:textId="134B6360" w:rsidR="00F11044" w:rsidRPr="00F11044" w:rsidRDefault="00F11044" w:rsidP="00F11044">
      <w:pPr>
        <w:ind w:firstLine="709"/>
        <w:jc w:val="both"/>
        <w:rPr>
          <w:bCs/>
          <w:sz w:val="24"/>
          <w:szCs w:val="24"/>
        </w:rPr>
      </w:pPr>
      <w:r w:rsidRPr="00F11044">
        <w:rPr>
          <w:bCs/>
          <w:sz w:val="24"/>
          <w:szCs w:val="24"/>
        </w:rPr>
        <w:lastRenderedPageBreak/>
        <w:t>Доходы бюджета округа на 2025 год увеличены на 110 178,0 тыс. руб. за счет увеличения безвозмездных поступлений от других бюджетов бюджетной системы Российской Федерации на сумму 110 178,0 тыс. рублей</w:t>
      </w:r>
    </w:p>
    <w:p w14:paraId="1B119AB4" w14:textId="77777777" w:rsidR="00F11044" w:rsidRPr="00F11044" w:rsidRDefault="00F11044" w:rsidP="00F11044">
      <w:pPr>
        <w:ind w:firstLine="709"/>
        <w:jc w:val="both"/>
        <w:rPr>
          <w:bCs/>
          <w:sz w:val="24"/>
          <w:szCs w:val="24"/>
        </w:rPr>
      </w:pPr>
      <w:r w:rsidRPr="00F11044">
        <w:rPr>
          <w:bCs/>
          <w:sz w:val="24"/>
          <w:szCs w:val="24"/>
        </w:rPr>
        <w:t>С учетом изменений объём безвозмездных поступлений составит 563 836,0 тыс. рублей.</w:t>
      </w:r>
    </w:p>
    <w:p w14:paraId="243F9CAB" w14:textId="2800CD42" w:rsidR="00F11044" w:rsidRPr="00F11044" w:rsidRDefault="00F11044" w:rsidP="00F11044">
      <w:pPr>
        <w:ind w:firstLine="709"/>
        <w:jc w:val="both"/>
        <w:rPr>
          <w:bCs/>
          <w:sz w:val="24"/>
          <w:szCs w:val="24"/>
        </w:rPr>
      </w:pPr>
      <w:r w:rsidRPr="00F11044">
        <w:rPr>
          <w:bCs/>
          <w:sz w:val="24"/>
          <w:szCs w:val="24"/>
        </w:rPr>
        <w:t>Доходы бюджета округа на 2026 год увеличены на 6 782,9 тыс. руб. за счет увеличения безвозмездных поступлений от других бюджетов бюджетной системы Российской Федерации на сумму 6 782,9 тыс. рублей</w:t>
      </w:r>
      <w:r>
        <w:rPr>
          <w:bCs/>
          <w:sz w:val="24"/>
          <w:szCs w:val="24"/>
        </w:rPr>
        <w:t>.</w:t>
      </w:r>
    </w:p>
    <w:p w14:paraId="376A036B" w14:textId="77777777" w:rsidR="00F11044" w:rsidRPr="00F11044" w:rsidRDefault="00F11044" w:rsidP="00F11044">
      <w:pPr>
        <w:ind w:firstLine="709"/>
        <w:jc w:val="both"/>
        <w:rPr>
          <w:bCs/>
          <w:sz w:val="24"/>
          <w:szCs w:val="24"/>
        </w:rPr>
      </w:pPr>
      <w:r w:rsidRPr="00F11044">
        <w:rPr>
          <w:bCs/>
          <w:sz w:val="24"/>
          <w:szCs w:val="24"/>
        </w:rPr>
        <w:t>С учетом изменений объём безвозмездных поступлений составит 437 501,1 тыс. рублей.</w:t>
      </w:r>
    </w:p>
    <w:p w14:paraId="7911FBA8" w14:textId="77777777" w:rsidR="00F11044" w:rsidRPr="00F11044" w:rsidRDefault="00F11044" w:rsidP="00F11044">
      <w:pPr>
        <w:ind w:firstLine="709"/>
        <w:jc w:val="both"/>
        <w:rPr>
          <w:sz w:val="24"/>
          <w:szCs w:val="24"/>
        </w:rPr>
      </w:pPr>
      <w:r w:rsidRPr="00F11044">
        <w:rPr>
          <w:rFonts w:ascii="Times New Roman CYR" w:hAnsi="Times New Roman CYR" w:cs="Times New Roman CYR"/>
          <w:sz w:val="24"/>
          <w:szCs w:val="24"/>
        </w:rPr>
        <w:t>При проведении экспертизы текстовой части Проекта решения о внесении изменений в бюджет, установлено следующее:</w:t>
      </w:r>
    </w:p>
    <w:p w14:paraId="41F0496D" w14:textId="77777777" w:rsidR="00F11044" w:rsidRPr="00F11044" w:rsidRDefault="00F11044" w:rsidP="00F11044">
      <w:pPr>
        <w:ind w:firstLine="741"/>
        <w:contextualSpacing/>
        <w:jc w:val="both"/>
        <w:rPr>
          <w:rFonts w:ascii="Times New Roman CYR" w:hAnsi="Times New Roman CYR" w:cs="Times New Roman CYR"/>
          <w:sz w:val="24"/>
          <w:szCs w:val="24"/>
        </w:rPr>
      </w:pPr>
      <w:r w:rsidRPr="00F11044">
        <w:rPr>
          <w:rFonts w:ascii="Times New Roman CYR" w:hAnsi="Times New Roman CYR" w:cs="Times New Roman CYR"/>
          <w:sz w:val="24"/>
          <w:szCs w:val="24"/>
        </w:rPr>
        <w:t xml:space="preserve">вносится изменение в Пункт 18 основных характеристик бюджета, Проектом решения предлагается: «Установить верхний предел муниципального внутреннего долга Нюксенского муниципального округа: </w:t>
      </w:r>
    </w:p>
    <w:p w14:paraId="3A3DBBEE" w14:textId="77777777" w:rsidR="00F11044" w:rsidRPr="00F11044" w:rsidRDefault="00F11044" w:rsidP="00F11044">
      <w:pPr>
        <w:ind w:firstLine="709"/>
        <w:jc w:val="both"/>
        <w:rPr>
          <w:rFonts w:ascii="Times New Roman CYR" w:hAnsi="Times New Roman CYR" w:cs="Times New Roman CYR"/>
          <w:sz w:val="24"/>
          <w:szCs w:val="24"/>
        </w:rPr>
      </w:pPr>
      <w:r w:rsidRPr="00F11044">
        <w:rPr>
          <w:rFonts w:ascii="Times New Roman CYR" w:hAnsi="Times New Roman CYR" w:cs="Times New Roman CYR"/>
          <w:sz w:val="24"/>
          <w:szCs w:val="24"/>
        </w:rPr>
        <w:t>1) по состоянию на 1 января 2025 года 4300,0 тыс. рублей, в том числе по муниципальным гарантиям 0 рублей;</w:t>
      </w:r>
    </w:p>
    <w:p w14:paraId="6D5F716D" w14:textId="77777777" w:rsidR="00F11044" w:rsidRPr="00F11044" w:rsidRDefault="00F11044" w:rsidP="00F11044">
      <w:pPr>
        <w:ind w:firstLine="709"/>
        <w:jc w:val="both"/>
        <w:rPr>
          <w:rFonts w:ascii="Times New Roman CYR" w:hAnsi="Times New Roman CYR" w:cs="Times New Roman CYR"/>
          <w:sz w:val="24"/>
          <w:szCs w:val="24"/>
        </w:rPr>
      </w:pPr>
      <w:r w:rsidRPr="00F11044">
        <w:rPr>
          <w:rFonts w:ascii="Times New Roman CYR" w:hAnsi="Times New Roman CYR" w:cs="Times New Roman CYR"/>
          <w:sz w:val="24"/>
          <w:szCs w:val="24"/>
        </w:rPr>
        <w:t>2) по состоянию на 1 января 2026 года 2000,0 тыс. рублей, в том числе по муниципальным гарантиям 0 рублей;</w:t>
      </w:r>
    </w:p>
    <w:p w14:paraId="018F45E2" w14:textId="77777777" w:rsidR="00F11044" w:rsidRPr="00F11044" w:rsidRDefault="00F11044" w:rsidP="00F11044">
      <w:pPr>
        <w:ind w:firstLine="720"/>
        <w:jc w:val="both"/>
        <w:rPr>
          <w:rFonts w:ascii="Times New Roman CYR" w:hAnsi="Times New Roman CYR" w:cs="Times New Roman CYR"/>
          <w:sz w:val="24"/>
          <w:szCs w:val="24"/>
        </w:rPr>
      </w:pPr>
      <w:r w:rsidRPr="00F11044">
        <w:rPr>
          <w:rFonts w:ascii="Times New Roman CYR" w:hAnsi="Times New Roman CYR" w:cs="Times New Roman CYR"/>
          <w:sz w:val="24"/>
          <w:szCs w:val="24"/>
        </w:rPr>
        <w:t>3) по состоянию на 1 января 2027 года 300,0 тыс. рублей, в том числе по муниципальным гарантиям 0 рублей.»</w:t>
      </w:r>
    </w:p>
    <w:p w14:paraId="70789623" w14:textId="77777777" w:rsidR="00F11044" w:rsidRPr="00F11044" w:rsidRDefault="00F11044" w:rsidP="00F11044">
      <w:pPr>
        <w:ind w:firstLine="741"/>
        <w:contextualSpacing/>
        <w:jc w:val="both"/>
        <w:rPr>
          <w:sz w:val="24"/>
          <w:szCs w:val="24"/>
        </w:rPr>
      </w:pPr>
      <w:r w:rsidRPr="00F11044">
        <w:rPr>
          <w:sz w:val="24"/>
          <w:szCs w:val="24"/>
        </w:rPr>
        <w:t xml:space="preserve">В качестве источника финансирования </w:t>
      </w:r>
      <w:r w:rsidRPr="00F11044">
        <w:rPr>
          <w:b/>
          <w:bCs/>
          <w:sz w:val="24"/>
          <w:szCs w:val="24"/>
        </w:rPr>
        <w:t>дефицита</w:t>
      </w:r>
      <w:r w:rsidRPr="00F11044">
        <w:rPr>
          <w:sz w:val="24"/>
          <w:szCs w:val="24"/>
        </w:rPr>
        <w:t xml:space="preserve"> местного бюджета задействованы остатки средств, сложившиеся </w:t>
      </w:r>
      <w:r w:rsidRPr="00F11044">
        <w:rPr>
          <w:b/>
          <w:bCs/>
          <w:sz w:val="24"/>
          <w:szCs w:val="24"/>
        </w:rPr>
        <w:t>на 1 января 2024 года</w:t>
      </w:r>
      <w:r w:rsidRPr="00F11044">
        <w:rPr>
          <w:sz w:val="24"/>
          <w:szCs w:val="24"/>
        </w:rPr>
        <w:t xml:space="preserve"> в сумме 23288,8 тыс. рублей.</w:t>
      </w:r>
    </w:p>
    <w:p w14:paraId="5D24AEE8" w14:textId="77777777" w:rsidR="00F11044" w:rsidRPr="00F11044" w:rsidRDefault="00F11044" w:rsidP="00F11044">
      <w:pPr>
        <w:ind w:firstLine="709"/>
        <w:jc w:val="both"/>
        <w:rPr>
          <w:sz w:val="24"/>
          <w:szCs w:val="24"/>
        </w:rPr>
      </w:pPr>
      <w:r w:rsidRPr="00F11044">
        <w:rPr>
          <w:sz w:val="24"/>
          <w:szCs w:val="24"/>
        </w:rPr>
        <w:t>По результатам анализа планируемых Проектом решения изменений бюджетных ассигнований, выделенные на финансирование расходов Нюксенского муниципального округа, проходят в рамках перераспределения лимитов между разделами, целевыми статьями соответствующих муниципальных программ Нюксенского муниципального округа и видами расходов по отдельным главным распорядителям бюджетных средств в пределах доведенных бюджетных ассигнований, что не противоречит Положению о бюджетном процессе округа.</w:t>
      </w:r>
    </w:p>
    <w:p w14:paraId="6356D8C4" w14:textId="77777777" w:rsidR="00F11044" w:rsidRPr="00F11044" w:rsidRDefault="00F11044" w:rsidP="00F11044">
      <w:pPr>
        <w:tabs>
          <w:tab w:val="left" w:pos="709"/>
        </w:tabs>
        <w:spacing w:before="240" w:line="100" w:lineRule="atLeast"/>
        <w:ind w:firstLine="709"/>
        <w:contextualSpacing/>
        <w:jc w:val="both"/>
        <w:rPr>
          <w:rFonts w:eastAsia="Calibri"/>
          <w:sz w:val="24"/>
          <w:szCs w:val="24"/>
          <w:lang w:eastAsia="en-US"/>
        </w:rPr>
      </w:pPr>
      <w:r w:rsidRPr="00F11044">
        <w:rPr>
          <w:rFonts w:eastAsia="Calibri"/>
          <w:b/>
          <w:bCs/>
          <w:sz w:val="24"/>
          <w:szCs w:val="24"/>
          <w:lang w:eastAsia="en-US"/>
        </w:rPr>
        <w:t>Расходы</w:t>
      </w:r>
      <w:r w:rsidRPr="00F11044">
        <w:rPr>
          <w:rFonts w:eastAsia="Calibri"/>
          <w:sz w:val="24"/>
          <w:szCs w:val="24"/>
          <w:lang w:eastAsia="en-US"/>
        </w:rPr>
        <w:t xml:space="preserve"> бюджета округа в </w:t>
      </w:r>
      <w:r w:rsidRPr="00F11044">
        <w:rPr>
          <w:rFonts w:eastAsia="Calibri"/>
          <w:b/>
          <w:bCs/>
          <w:sz w:val="24"/>
          <w:szCs w:val="24"/>
          <w:lang w:eastAsia="en-US"/>
        </w:rPr>
        <w:t>2024</w:t>
      </w:r>
      <w:r w:rsidRPr="00F11044">
        <w:rPr>
          <w:rFonts w:eastAsia="Calibri"/>
          <w:sz w:val="24"/>
          <w:szCs w:val="24"/>
          <w:lang w:eastAsia="en-US"/>
        </w:rPr>
        <w:t xml:space="preserve"> году составят 1 684 218,1 </w:t>
      </w:r>
      <w:proofErr w:type="spellStart"/>
      <w:proofErr w:type="gramStart"/>
      <w:r w:rsidRPr="00F11044">
        <w:rPr>
          <w:rFonts w:eastAsia="Calibri"/>
          <w:sz w:val="24"/>
          <w:szCs w:val="24"/>
          <w:lang w:eastAsia="en-US"/>
        </w:rPr>
        <w:t>тыс.рублей</w:t>
      </w:r>
      <w:proofErr w:type="spellEnd"/>
      <w:proofErr w:type="gramEnd"/>
      <w:r w:rsidRPr="00F11044">
        <w:rPr>
          <w:rFonts w:eastAsia="Calibri"/>
          <w:sz w:val="24"/>
          <w:szCs w:val="24"/>
          <w:lang w:eastAsia="en-US"/>
        </w:rPr>
        <w:t xml:space="preserve"> с учетом увеличения на </w:t>
      </w:r>
      <w:r w:rsidRPr="00F11044">
        <w:rPr>
          <w:rFonts w:eastAsia="Calibri"/>
          <w:b/>
          <w:bCs/>
          <w:sz w:val="24"/>
          <w:szCs w:val="24"/>
          <w:lang w:eastAsia="en-US"/>
        </w:rPr>
        <w:t>47491,8</w:t>
      </w:r>
      <w:r w:rsidRPr="00F11044">
        <w:rPr>
          <w:rFonts w:eastAsia="Calibri"/>
          <w:sz w:val="24"/>
          <w:szCs w:val="24"/>
          <w:lang w:eastAsia="en-US"/>
        </w:rPr>
        <w:t xml:space="preserve"> тыс. рублей.</w:t>
      </w:r>
    </w:p>
    <w:p w14:paraId="02CAA170" w14:textId="77777777" w:rsidR="00F11044" w:rsidRPr="00F11044" w:rsidRDefault="00F11044" w:rsidP="00F11044">
      <w:pPr>
        <w:spacing w:before="240" w:line="100" w:lineRule="atLeast"/>
        <w:ind w:firstLine="709"/>
        <w:contextualSpacing/>
        <w:jc w:val="both"/>
        <w:rPr>
          <w:sz w:val="24"/>
          <w:szCs w:val="24"/>
        </w:rPr>
      </w:pPr>
      <w:r w:rsidRPr="00F11044">
        <w:rPr>
          <w:sz w:val="24"/>
          <w:szCs w:val="24"/>
        </w:rPr>
        <w:t>Описание расходной части корректировки бюджета муниципального округа в пояснительной записке приведено в разрезе муниципальных программ и отдельно по непрограммным статьям бюджета округа, в связи с тем, что 99% расходов бюджета муниципального округа осуществляется в рамках муниципальных программ.</w:t>
      </w:r>
    </w:p>
    <w:p w14:paraId="024BCD24" w14:textId="0F21918A" w:rsidR="00F11044" w:rsidRPr="00F11044" w:rsidRDefault="00F11044" w:rsidP="00F11044">
      <w:pPr>
        <w:ind w:firstLine="709"/>
        <w:jc w:val="both"/>
        <w:rPr>
          <w:iCs/>
          <w:sz w:val="24"/>
          <w:szCs w:val="24"/>
        </w:rPr>
      </w:pPr>
      <w:r>
        <w:rPr>
          <w:iCs/>
          <w:sz w:val="24"/>
          <w:szCs w:val="24"/>
        </w:rPr>
        <w:t xml:space="preserve">Из </w:t>
      </w:r>
      <w:r w:rsidRPr="00F11044">
        <w:rPr>
          <w:iCs/>
          <w:sz w:val="24"/>
          <w:szCs w:val="24"/>
        </w:rPr>
        <w:t>анализа изменений (перераспределения) объема бюджетных ассигнований по расходам бюджета Нюксенского муниципального округа следует, что основному изменению (увеличению или уменьшению) в Проекте решения подвергнуты расходы в сфере жилищно-коммунального хозяйства, культуры, кинематографии, национальной безопасности и правоохранительной деятельности, национальной экономики, образования и социальной политики.</w:t>
      </w:r>
    </w:p>
    <w:p w14:paraId="31099FB7" w14:textId="77777777" w:rsidR="00F11044" w:rsidRPr="00F11044" w:rsidRDefault="00F11044" w:rsidP="00F11044">
      <w:pPr>
        <w:ind w:firstLine="567"/>
        <w:jc w:val="both"/>
        <w:rPr>
          <w:iCs/>
          <w:sz w:val="24"/>
          <w:szCs w:val="24"/>
        </w:rPr>
      </w:pPr>
      <w:r w:rsidRPr="00F11044">
        <w:rPr>
          <w:iCs/>
          <w:sz w:val="24"/>
          <w:szCs w:val="24"/>
        </w:rPr>
        <w:t xml:space="preserve">  Внесение изменений в бюджет округа предусмотрено по десяти разделам из одиннадцати. </w:t>
      </w:r>
    </w:p>
    <w:p w14:paraId="59410DD1" w14:textId="77777777" w:rsidR="00F11044" w:rsidRPr="00F11044" w:rsidRDefault="00F11044" w:rsidP="00F11044">
      <w:pPr>
        <w:ind w:firstLine="709"/>
        <w:jc w:val="both"/>
        <w:rPr>
          <w:iCs/>
          <w:sz w:val="24"/>
          <w:szCs w:val="24"/>
        </w:rPr>
      </w:pPr>
      <w:r w:rsidRPr="00F11044">
        <w:rPr>
          <w:iCs/>
          <w:sz w:val="24"/>
          <w:szCs w:val="24"/>
        </w:rPr>
        <w:t>Соответственно приведенным изменениям по разделам расходов бюджета изменены бюджетные ассигнования главным распорядителям бюджетных средств, относящимся к этим разделам расходов.</w:t>
      </w:r>
    </w:p>
    <w:p w14:paraId="2FBBEFB5" w14:textId="77777777" w:rsidR="00F11044" w:rsidRPr="00F11044" w:rsidRDefault="00F11044" w:rsidP="00F11044">
      <w:pPr>
        <w:ind w:firstLine="709"/>
        <w:jc w:val="both"/>
        <w:rPr>
          <w:sz w:val="24"/>
          <w:szCs w:val="24"/>
        </w:rPr>
      </w:pPr>
      <w:r w:rsidRPr="00F11044">
        <w:rPr>
          <w:iCs/>
          <w:sz w:val="24"/>
          <w:szCs w:val="24"/>
        </w:rPr>
        <w:t>Также вносятся изменения по муниципальным программам в рамках перераспределения бюджетных ассигнований.</w:t>
      </w:r>
      <w:bookmarkStart w:id="2" w:name="_Hlk75358632"/>
      <w:r w:rsidRPr="00F11044">
        <w:rPr>
          <w:sz w:val="24"/>
          <w:szCs w:val="24"/>
        </w:rPr>
        <w:t xml:space="preserve"> </w:t>
      </w:r>
    </w:p>
    <w:bookmarkEnd w:id="2"/>
    <w:p w14:paraId="57E7B1FE" w14:textId="77777777" w:rsidR="00F11044" w:rsidRPr="00F11044" w:rsidRDefault="00F11044" w:rsidP="00F11044">
      <w:pPr>
        <w:widowControl w:val="0"/>
        <w:shd w:val="clear" w:color="auto" w:fill="FFFFFF"/>
        <w:autoSpaceDE w:val="0"/>
        <w:autoSpaceDN w:val="0"/>
        <w:adjustRightInd w:val="0"/>
        <w:jc w:val="center"/>
        <w:rPr>
          <w:b/>
          <w:color w:val="000000"/>
          <w:sz w:val="24"/>
          <w:szCs w:val="24"/>
        </w:rPr>
      </w:pPr>
    </w:p>
    <w:p w14:paraId="6EA442CC" w14:textId="77777777" w:rsidR="00F11044" w:rsidRPr="00F11044" w:rsidRDefault="00F11044" w:rsidP="00F11044">
      <w:pPr>
        <w:widowControl w:val="0"/>
        <w:shd w:val="clear" w:color="auto" w:fill="FFFFFF"/>
        <w:autoSpaceDE w:val="0"/>
        <w:autoSpaceDN w:val="0"/>
        <w:adjustRightInd w:val="0"/>
        <w:jc w:val="center"/>
        <w:rPr>
          <w:b/>
          <w:color w:val="000000"/>
          <w:sz w:val="24"/>
          <w:szCs w:val="24"/>
        </w:rPr>
      </w:pPr>
      <w:r w:rsidRPr="00F11044">
        <w:rPr>
          <w:b/>
          <w:color w:val="000000"/>
          <w:sz w:val="24"/>
          <w:szCs w:val="24"/>
        </w:rPr>
        <w:t xml:space="preserve">Программа муниципальных внутренних заимствований </w:t>
      </w:r>
    </w:p>
    <w:p w14:paraId="2EA39109" w14:textId="77777777" w:rsidR="00F11044" w:rsidRPr="00F11044" w:rsidRDefault="00F11044" w:rsidP="00F11044">
      <w:pPr>
        <w:widowControl w:val="0"/>
        <w:shd w:val="clear" w:color="auto" w:fill="FFFFFF"/>
        <w:autoSpaceDE w:val="0"/>
        <w:autoSpaceDN w:val="0"/>
        <w:adjustRightInd w:val="0"/>
        <w:jc w:val="center"/>
        <w:rPr>
          <w:b/>
          <w:color w:val="000000"/>
          <w:sz w:val="24"/>
          <w:szCs w:val="24"/>
        </w:rPr>
      </w:pPr>
      <w:r w:rsidRPr="00F11044">
        <w:rPr>
          <w:b/>
          <w:color w:val="000000"/>
          <w:sz w:val="24"/>
          <w:szCs w:val="24"/>
        </w:rPr>
        <w:t>на 2024 год и плановый период 2025 и 2026 годов</w:t>
      </w:r>
    </w:p>
    <w:p w14:paraId="53FFC2BC" w14:textId="77777777" w:rsidR="00F11044" w:rsidRPr="00F11044" w:rsidRDefault="00F11044" w:rsidP="00F11044">
      <w:pPr>
        <w:widowControl w:val="0"/>
        <w:autoSpaceDE w:val="0"/>
        <w:autoSpaceDN w:val="0"/>
        <w:adjustRightInd w:val="0"/>
        <w:jc w:val="right"/>
        <w:rPr>
          <w:sz w:val="24"/>
          <w:szCs w:val="24"/>
        </w:rPr>
      </w:pPr>
      <w:r w:rsidRPr="00F11044">
        <w:rPr>
          <w:sz w:val="24"/>
          <w:szCs w:val="24"/>
        </w:rPr>
        <w:t>(тыс. рублей)</w:t>
      </w:r>
    </w:p>
    <w:tbl>
      <w:tblPr>
        <w:tblW w:w="90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2"/>
        <w:gridCol w:w="1472"/>
        <w:gridCol w:w="1473"/>
        <w:gridCol w:w="1621"/>
      </w:tblGrid>
      <w:tr w:rsidR="00F11044" w:rsidRPr="00F11044" w14:paraId="5B7BACA9" w14:textId="77777777" w:rsidTr="0083054E">
        <w:trPr>
          <w:trHeight w:val="164"/>
        </w:trPr>
        <w:tc>
          <w:tcPr>
            <w:tcW w:w="4462" w:type="dxa"/>
            <w:vMerge w:val="restart"/>
          </w:tcPr>
          <w:p w14:paraId="15DE968B" w14:textId="77777777" w:rsidR="00F11044" w:rsidRPr="00F11044" w:rsidRDefault="00F11044" w:rsidP="00F11044">
            <w:pPr>
              <w:keepNext/>
              <w:widowControl w:val="0"/>
              <w:autoSpaceDE w:val="0"/>
              <w:autoSpaceDN w:val="0"/>
              <w:adjustRightInd w:val="0"/>
              <w:jc w:val="center"/>
              <w:outlineLvl w:val="1"/>
              <w:rPr>
                <w:b/>
                <w:sz w:val="18"/>
                <w:szCs w:val="18"/>
              </w:rPr>
            </w:pPr>
            <w:r w:rsidRPr="00F11044">
              <w:rPr>
                <w:b/>
                <w:sz w:val="18"/>
                <w:szCs w:val="18"/>
              </w:rPr>
              <w:lastRenderedPageBreak/>
              <w:t>Муниципальные заимствования</w:t>
            </w:r>
          </w:p>
        </w:tc>
        <w:tc>
          <w:tcPr>
            <w:tcW w:w="4566" w:type="dxa"/>
            <w:gridSpan w:val="3"/>
          </w:tcPr>
          <w:p w14:paraId="174209B9" w14:textId="77777777" w:rsidR="00F11044" w:rsidRPr="00F11044" w:rsidRDefault="00F11044" w:rsidP="00F11044">
            <w:pPr>
              <w:widowControl w:val="0"/>
              <w:autoSpaceDE w:val="0"/>
              <w:autoSpaceDN w:val="0"/>
              <w:adjustRightInd w:val="0"/>
              <w:jc w:val="center"/>
              <w:rPr>
                <w:b/>
                <w:sz w:val="18"/>
                <w:szCs w:val="18"/>
              </w:rPr>
            </w:pPr>
            <w:r w:rsidRPr="00F11044">
              <w:rPr>
                <w:b/>
                <w:sz w:val="18"/>
                <w:szCs w:val="18"/>
              </w:rPr>
              <w:t>Сумма</w:t>
            </w:r>
          </w:p>
        </w:tc>
      </w:tr>
      <w:tr w:rsidR="00F11044" w:rsidRPr="00F11044" w14:paraId="268A7549" w14:textId="77777777" w:rsidTr="0083054E">
        <w:trPr>
          <w:trHeight w:val="258"/>
        </w:trPr>
        <w:tc>
          <w:tcPr>
            <w:tcW w:w="4462" w:type="dxa"/>
            <w:vMerge/>
          </w:tcPr>
          <w:p w14:paraId="329BC0E9" w14:textId="77777777" w:rsidR="00F11044" w:rsidRPr="00F11044" w:rsidRDefault="00F11044" w:rsidP="00F11044">
            <w:pPr>
              <w:keepNext/>
              <w:widowControl w:val="0"/>
              <w:autoSpaceDE w:val="0"/>
              <w:autoSpaceDN w:val="0"/>
              <w:adjustRightInd w:val="0"/>
              <w:jc w:val="center"/>
              <w:outlineLvl w:val="1"/>
              <w:rPr>
                <w:b/>
                <w:sz w:val="18"/>
                <w:szCs w:val="18"/>
              </w:rPr>
            </w:pPr>
          </w:p>
        </w:tc>
        <w:tc>
          <w:tcPr>
            <w:tcW w:w="1472" w:type="dxa"/>
          </w:tcPr>
          <w:p w14:paraId="1C448B9B" w14:textId="77777777" w:rsidR="00F11044" w:rsidRPr="00F11044" w:rsidRDefault="00F11044" w:rsidP="00F11044">
            <w:pPr>
              <w:widowControl w:val="0"/>
              <w:autoSpaceDE w:val="0"/>
              <w:autoSpaceDN w:val="0"/>
              <w:adjustRightInd w:val="0"/>
              <w:rPr>
                <w:b/>
                <w:sz w:val="18"/>
                <w:szCs w:val="18"/>
              </w:rPr>
            </w:pPr>
            <w:r w:rsidRPr="00F11044">
              <w:rPr>
                <w:b/>
                <w:sz w:val="18"/>
                <w:szCs w:val="18"/>
              </w:rPr>
              <w:t xml:space="preserve">   2024 год</w:t>
            </w:r>
          </w:p>
        </w:tc>
        <w:tc>
          <w:tcPr>
            <w:tcW w:w="1473" w:type="dxa"/>
          </w:tcPr>
          <w:p w14:paraId="0CAC6E70" w14:textId="77777777" w:rsidR="00F11044" w:rsidRPr="00F11044" w:rsidRDefault="00F11044" w:rsidP="00F11044">
            <w:pPr>
              <w:widowControl w:val="0"/>
              <w:autoSpaceDE w:val="0"/>
              <w:autoSpaceDN w:val="0"/>
              <w:adjustRightInd w:val="0"/>
              <w:jc w:val="center"/>
              <w:rPr>
                <w:b/>
                <w:sz w:val="18"/>
                <w:szCs w:val="18"/>
              </w:rPr>
            </w:pPr>
            <w:r w:rsidRPr="00F11044">
              <w:rPr>
                <w:b/>
                <w:sz w:val="18"/>
                <w:szCs w:val="18"/>
              </w:rPr>
              <w:t>2025 год</w:t>
            </w:r>
          </w:p>
        </w:tc>
        <w:tc>
          <w:tcPr>
            <w:tcW w:w="1620" w:type="dxa"/>
          </w:tcPr>
          <w:p w14:paraId="4E1569D8" w14:textId="77777777" w:rsidR="00F11044" w:rsidRPr="00F11044" w:rsidRDefault="00F11044" w:rsidP="00F11044">
            <w:pPr>
              <w:widowControl w:val="0"/>
              <w:autoSpaceDE w:val="0"/>
              <w:autoSpaceDN w:val="0"/>
              <w:adjustRightInd w:val="0"/>
              <w:jc w:val="center"/>
              <w:rPr>
                <w:b/>
                <w:sz w:val="18"/>
                <w:szCs w:val="18"/>
              </w:rPr>
            </w:pPr>
            <w:r w:rsidRPr="00F11044">
              <w:rPr>
                <w:b/>
                <w:sz w:val="18"/>
                <w:szCs w:val="18"/>
              </w:rPr>
              <w:t>2026 год</w:t>
            </w:r>
          </w:p>
        </w:tc>
      </w:tr>
      <w:tr w:rsidR="00F11044" w:rsidRPr="00F11044" w14:paraId="227FFD48" w14:textId="77777777" w:rsidTr="0083054E">
        <w:trPr>
          <w:trHeight w:val="39"/>
        </w:trPr>
        <w:tc>
          <w:tcPr>
            <w:tcW w:w="4462" w:type="dxa"/>
          </w:tcPr>
          <w:p w14:paraId="28C247FD" w14:textId="77777777" w:rsidR="00F11044" w:rsidRPr="00F11044" w:rsidRDefault="00F11044" w:rsidP="00F11044">
            <w:pPr>
              <w:widowControl w:val="0"/>
              <w:autoSpaceDE w:val="0"/>
              <w:autoSpaceDN w:val="0"/>
              <w:adjustRightInd w:val="0"/>
              <w:rPr>
                <w:sz w:val="24"/>
                <w:szCs w:val="24"/>
              </w:rPr>
            </w:pPr>
            <w:r w:rsidRPr="00F11044">
              <w:rPr>
                <w:sz w:val="24"/>
                <w:szCs w:val="24"/>
              </w:rPr>
              <w:t>Бюджетные кредиты из других бюджетов   бюджетной системы Российской Федерации, по которым возникают долговые обязательства муниципального округа, как заемщика</w:t>
            </w:r>
          </w:p>
        </w:tc>
        <w:tc>
          <w:tcPr>
            <w:tcW w:w="1472" w:type="dxa"/>
          </w:tcPr>
          <w:p w14:paraId="40507FEA" w14:textId="77777777" w:rsidR="00F11044" w:rsidRPr="00F11044" w:rsidRDefault="00F11044" w:rsidP="00F11044">
            <w:pPr>
              <w:widowControl w:val="0"/>
              <w:autoSpaceDE w:val="0"/>
              <w:autoSpaceDN w:val="0"/>
              <w:adjustRightInd w:val="0"/>
              <w:ind w:left="27" w:hanging="27"/>
              <w:jc w:val="center"/>
              <w:rPr>
                <w:sz w:val="24"/>
                <w:szCs w:val="24"/>
              </w:rPr>
            </w:pPr>
            <w:r w:rsidRPr="00F11044">
              <w:rPr>
                <w:sz w:val="24"/>
                <w:szCs w:val="24"/>
              </w:rPr>
              <w:t>-4300</w:t>
            </w:r>
          </w:p>
        </w:tc>
        <w:tc>
          <w:tcPr>
            <w:tcW w:w="1473" w:type="dxa"/>
          </w:tcPr>
          <w:p w14:paraId="6B480707" w14:textId="77777777" w:rsidR="00F11044" w:rsidRPr="00F11044" w:rsidRDefault="00F11044" w:rsidP="00F11044">
            <w:pPr>
              <w:widowControl w:val="0"/>
              <w:autoSpaceDE w:val="0"/>
              <w:autoSpaceDN w:val="0"/>
              <w:adjustRightInd w:val="0"/>
              <w:ind w:left="27" w:hanging="27"/>
              <w:jc w:val="center"/>
              <w:rPr>
                <w:sz w:val="24"/>
                <w:szCs w:val="24"/>
              </w:rPr>
            </w:pPr>
            <w:r w:rsidRPr="00F11044">
              <w:rPr>
                <w:sz w:val="24"/>
                <w:szCs w:val="24"/>
              </w:rPr>
              <w:t>-2000</w:t>
            </w:r>
          </w:p>
        </w:tc>
        <w:tc>
          <w:tcPr>
            <w:tcW w:w="1620" w:type="dxa"/>
          </w:tcPr>
          <w:p w14:paraId="45427B46" w14:textId="77777777" w:rsidR="00F11044" w:rsidRPr="00F11044" w:rsidRDefault="00F11044" w:rsidP="00F11044">
            <w:pPr>
              <w:widowControl w:val="0"/>
              <w:autoSpaceDE w:val="0"/>
              <w:autoSpaceDN w:val="0"/>
              <w:adjustRightInd w:val="0"/>
              <w:ind w:left="27" w:hanging="27"/>
              <w:jc w:val="center"/>
              <w:rPr>
                <w:sz w:val="24"/>
                <w:szCs w:val="24"/>
              </w:rPr>
            </w:pPr>
            <w:r w:rsidRPr="00F11044">
              <w:rPr>
                <w:sz w:val="24"/>
                <w:szCs w:val="24"/>
              </w:rPr>
              <w:t>-2000</w:t>
            </w:r>
          </w:p>
        </w:tc>
      </w:tr>
      <w:tr w:rsidR="00F11044" w:rsidRPr="00F11044" w14:paraId="2A73121D" w14:textId="77777777" w:rsidTr="0083054E">
        <w:trPr>
          <w:trHeight w:val="39"/>
        </w:trPr>
        <w:tc>
          <w:tcPr>
            <w:tcW w:w="4462" w:type="dxa"/>
          </w:tcPr>
          <w:p w14:paraId="23246642" w14:textId="77777777" w:rsidR="00F11044" w:rsidRPr="00F11044" w:rsidRDefault="00F11044" w:rsidP="00F11044">
            <w:pPr>
              <w:widowControl w:val="0"/>
              <w:autoSpaceDE w:val="0"/>
              <w:autoSpaceDN w:val="0"/>
              <w:adjustRightInd w:val="0"/>
              <w:rPr>
                <w:sz w:val="24"/>
                <w:szCs w:val="24"/>
              </w:rPr>
            </w:pPr>
            <w:r w:rsidRPr="00F11044">
              <w:rPr>
                <w:sz w:val="24"/>
                <w:szCs w:val="24"/>
              </w:rPr>
              <w:t>привлечение бюджетных кредитов</w:t>
            </w:r>
          </w:p>
        </w:tc>
        <w:tc>
          <w:tcPr>
            <w:tcW w:w="1472" w:type="dxa"/>
          </w:tcPr>
          <w:p w14:paraId="4673C72C" w14:textId="77777777" w:rsidR="00F11044" w:rsidRPr="00F11044" w:rsidRDefault="00F11044" w:rsidP="00F11044">
            <w:pPr>
              <w:widowControl w:val="0"/>
              <w:autoSpaceDE w:val="0"/>
              <w:autoSpaceDN w:val="0"/>
              <w:adjustRightInd w:val="0"/>
              <w:ind w:left="27" w:hanging="27"/>
              <w:jc w:val="center"/>
              <w:rPr>
                <w:sz w:val="24"/>
                <w:szCs w:val="24"/>
              </w:rPr>
            </w:pPr>
            <w:r w:rsidRPr="00F11044">
              <w:rPr>
                <w:sz w:val="24"/>
                <w:szCs w:val="24"/>
              </w:rPr>
              <w:t>9 400,0</w:t>
            </w:r>
          </w:p>
        </w:tc>
        <w:tc>
          <w:tcPr>
            <w:tcW w:w="1473" w:type="dxa"/>
          </w:tcPr>
          <w:p w14:paraId="62ACAA9D" w14:textId="77777777" w:rsidR="00F11044" w:rsidRPr="00F11044" w:rsidRDefault="00F11044" w:rsidP="00F11044">
            <w:pPr>
              <w:widowControl w:val="0"/>
              <w:autoSpaceDE w:val="0"/>
              <w:autoSpaceDN w:val="0"/>
              <w:adjustRightInd w:val="0"/>
              <w:ind w:left="27" w:hanging="27"/>
              <w:jc w:val="center"/>
              <w:rPr>
                <w:sz w:val="24"/>
                <w:szCs w:val="24"/>
              </w:rPr>
            </w:pPr>
            <w:r w:rsidRPr="00F11044">
              <w:rPr>
                <w:sz w:val="24"/>
                <w:szCs w:val="24"/>
              </w:rPr>
              <w:t>0</w:t>
            </w:r>
          </w:p>
        </w:tc>
        <w:tc>
          <w:tcPr>
            <w:tcW w:w="1620" w:type="dxa"/>
          </w:tcPr>
          <w:p w14:paraId="151A3BC1" w14:textId="77777777" w:rsidR="00F11044" w:rsidRPr="00F11044" w:rsidRDefault="00F11044" w:rsidP="00F11044">
            <w:pPr>
              <w:widowControl w:val="0"/>
              <w:autoSpaceDE w:val="0"/>
              <w:autoSpaceDN w:val="0"/>
              <w:adjustRightInd w:val="0"/>
              <w:ind w:left="27" w:hanging="27"/>
              <w:jc w:val="center"/>
              <w:rPr>
                <w:sz w:val="24"/>
                <w:szCs w:val="24"/>
              </w:rPr>
            </w:pPr>
            <w:r w:rsidRPr="00F11044">
              <w:rPr>
                <w:sz w:val="24"/>
                <w:szCs w:val="24"/>
              </w:rPr>
              <w:t>0</w:t>
            </w:r>
          </w:p>
        </w:tc>
      </w:tr>
      <w:tr w:rsidR="00F11044" w:rsidRPr="00F11044" w14:paraId="34FFA367" w14:textId="77777777" w:rsidTr="0083054E">
        <w:trPr>
          <w:trHeight w:val="192"/>
        </w:trPr>
        <w:tc>
          <w:tcPr>
            <w:tcW w:w="4462" w:type="dxa"/>
          </w:tcPr>
          <w:p w14:paraId="1B8AA274" w14:textId="77777777" w:rsidR="00F11044" w:rsidRPr="00F11044" w:rsidRDefault="00F11044" w:rsidP="00F11044">
            <w:pPr>
              <w:widowControl w:val="0"/>
              <w:autoSpaceDE w:val="0"/>
              <w:autoSpaceDN w:val="0"/>
              <w:adjustRightInd w:val="0"/>
              <w:rPr>
                <w:sz w:val="24"/>
                <w:szCs w:val="24"/>
              </w:rPr>
            </w:pPr>
            <w:r w:rsidRPr="00F11044">
              <w:rPr>
                <w:sz w:val="24"/>
                <w:szCs w:val="24"/>
              </w:rPr>
              <w:t>погашение бюджетных кредитов</w:t>
            </w:r>
          </w:p>
        </w:tc>
        <w:tc>
          <w:tcPr>
            <w:tcW w:w="1472" w:type="dxa"/>
          </w:tcPr>
          <w:p w14:paraId="3086ED4B" w14:textId="77777777" w:rsidR="00F11044" w:rsidRPr="00F11044" w:rsidRDefault="00F11044" w:rsidP="00F11044">
            <w:pPr>
              <w:widowControl w:val="0"/>
              <w:autoSpaceDE w:val="0"/>
              <w:autoSpaceDN w:val="0"/>
              <w:adjustRightInd w:val="0"/>
              <w:ind w:left="27" w:hanging="27"/>
              <w:jc w:val="center"/>
              <w:rPr>
                <w:sz w:val="24"/>
                <w:szCs w:val="24"/>
              </w:rPr>
            </w:pPr>
            <w:r w:rsidRPr="00F11044">
              <w:rPr>
                <w:sz w:val="24"/>
                <w:szCs w:val="24"/>
              </w:rPr>
              <w:t>-5 100</w:t>
            </w:r>
          </w:p>
        </w:tc>
        <w:tc>
          <w:tcPr>
            <w:tcW w:w="1473" w:type="dxa"/>
          </w:tcPr>
          <w:p w14:paraId="434A3614" w14:textId="77777777" w:rsidR="00F11044" w:rsidRPr="00F11044" w:rsidRDefault="00F11044" w:rsidP="00F11044">
            <w:pPr>
              <w:widowControl w:val="0"/>
              <w:autoSpaceDE w:val="0"/>
              <w:autoSpaceDN w:val="0"/>
              <w:adjustRightInd w:val="0"/>
              <w:ind w:left="27" w:hanging="27"/>
              <w:jc w:val="center"/>
              <w:rPr>
                <w:sz w:val="24"/>
                <w:szCs w:val="24"/>
              </w:rPr>
            </w:pPr>
            <w:r w:rsidRPr="00F11044">
              <w:rPr>
                <w:sz w:val="24"/>
                <w:szCs w:val="24"/>
              </w:rPr>
              <w:t>-2000</w:t>
            </w:r>
          </w:p>
        </w:tc>
        <w:tc>
          <w:tcPr>
            <w:tcW w:w="1620" w:type="dxa"/>
          </w:tcPr>
          <w:p w14:paraId="11098352" w14:textId="77777777" w:rsidR="00F11044" w:rsidRPr="00F11044" w:rsidRDefault="00F11044" w:rsidP="00F11044">
            <w:pPr>
              <w:widowControl w:val="0"/>
              <w:autoSpaceDE w:val="0"/>
              <w:autoSpaceDN w:val="0"/>
              <w:adjustRightInd w:val="0"/>
              <w:ind w:left="27" w:hanging="27"/>
              <w:jc w:val="center"/>
              <w:rPr>
                <w:sz w:val="24"/>
                <w:szCs w:val="24"/>
              </w:rPr>
            </w:pPr>
            <w:r w:rsidRPr="00F11044">
              <w:rPr>
                <w:sz w:val="24"/>
                <w:szCs w:val="24"/>
              </w:rPr>
              <w:t>-2000</w:t>
            </w:r>
          </w:p>
        </w:tc>
      </w:tr>
      <w:tr w:rsidR="00F11044" w:rsidRPr="00F11044" w14:paraId="49C2F30F" w14:textId="77777777" w:rsidTr="0083054E">
        <w:trPr>
          <w:trHeight w:val="39"/>
        </w:trPr>
        <w:tc>
          <w:tcPr>
            <w:tcW w:w="4462" w:type="dxa"/>
          </w:tcPr>
          <w:p w14:paraId="4E2C6C40" w14:textId="77777777" w:rsidR="00F11044" w:rsidRPr="00F11044" w:rsidRDefault="00F11044" w:rsidP="00F11044">
            <w:pPr>
              <w:widowControl w:val="0"/>
              <w:autoSpaceDE w:val="0"/>
              <w:autoSpaceDN w:val="0"/>
              <w:adjustRightInd w:val="0"/>
              <w:rPr>
                <w:sz w:val="24"/>
                <w:szCs w:val="24"/>
              </w:rPr>
            </w:pPr>
            <w:r w:rsidRPr="00F11044">
              <w:rPr>
                <w:sz w:val="24"/>
                <w:szCs w:val="24"/>
              </w:rPr>
              <w:t>Кредиты кредитных организаций в валюте Российской Федерации</w:t>
            </w:r>
          </w:p>
        </w:tc>
        <w:tc>
          <w:tcPr>
            <w:tcW w:w="1472" w:type="dxa"/>
          </w:tcPr>
          <w:p w14:paraId="1941B82E" w14:textId="77777777" w:rsidR="00F11044" w:rsidRPr="00F11044" w:rsidRDefault="00F11044" w:rsidP="00F11044">
            <w:pPr>
              <w:widowControl w:val="0"/>
              <w:autoSpaceDE w:val="0"/>
              <w:autoSpaceDN w:val="0"/>
              <w:adjustRightInd w:val="0"/>
              <w:jc w:val="center"/>
              <w:rPr>
                <w:sz w:val="24"/>
                <w:szCs w:val="24"/>
              </w:rPr>
            </w:pPr>
            <w:r w:rsidRPr="00F11044">
              <w:rPr>
                <w:sz w:val="24"/>
                <w:szCs w:val="24"/>
              </w:rPr>
              <w:t>0</w:t>
            </w:r>
          </w:p>
        </w:tc>
        <w:tc>
          <w:tcPr>
            <w:tcW w:w="1473" w:type="dxa"/>
          </w:tcPr>
          <w:p w14:paraId="094389E4" w14:textId="77777777" w:rsidR="00F11044" w:rsidRPr="00F11044" w:rsidRDefault="00F11044" w:rsidP="00F11044">
            <w:pPr>
              <w:widowControl w:val="0"/>
              <w:autoSpaceDE w:val="0"/>
              <w:autoSpaceDN w:val="0"/>
              <w:adjustRightInd w:val="0"/>
              <w:jc w:val="center"/>
              <w:rPr>
                <w:sz w:val="24"/>
                <w:szCs w:val="24"/>
              </w:rPr>
            </w:pPr>
            <w:r w:rsidRPr="00F11044">
              <w:rPr>
                <w:sz w:val="24"/>
                <w:szCs w:val="24"/>
              </w:rPr>
              <w:t>0</w:t>
            </w:r>
          </w:p>
        </w:tc>
        <w:tc>
          <w:tcPr>
            <w:tcW w:w="1620" w:type="dxa"/>
          </w:tcPr>
          <w:p w14:paraId="7F0DA6BF" w14:textId="77777777" w:rsidR="00F11044" w:rsidRPr="00F11044" w:rsidRDefault="00F11044" w:rsidP="00F11044">
            <w:pPr>
              <w:widowControl w:val="0"/>
              <w:autoSpaceDE w:val="0"/>
              <w:autoSpaceDN w:val="0"/>
              <w:adjustRightInd w:val="0"/>
              <w:jc w:val="center"/>
              <w:rPr>
                <w:sz w:val="24"/>
                <w:szCs w:val="24"/>
              </w:rPr>
            </w:pPr>
            <w:r w:rsidRPr="00F11044">
              <w:rPr>
                <w:sz w:val="24"/>
                <w:szCs w:val="24"/>
              </w:rPr>
              <w:t>0</w:t>
            </w:r>
          </w:p>
        </w:tc>
      </w:tr>
      <w:tr w:rsidR="00F11044" w:rsidRPr="00F11044" w14:paraId="4617E1F8" w14:textId="77777777" w:rsidTr="0083054E">
        <w:trPr>
          <w:trHeight w:val="164"/>
        </w:trPr>
        <w:tc>
          <w:tcPr>
            <w:tcW w:w="4462" w:type="dxa"/>
          </w:tcPr>
          <w:p w14:paraId="56F36216" w14:textId="77777777" w:rsidR="00F11044" w:rsidRPr="00F11044" w:rsidRDefault="00F11044" w:rsidP="00F11044">
            <w:pPr>
              <w:widowControl w:val="0"/>
              <w:autoSpaceDE w:val="0"/>
              <w:autoSpaceDN w:val="0"/>
              <w:adjustRightInd w:val="0"/>
              <w:rPr>
                <w:sz w:val="24"/>
                <w:szCs w:val="24"/>
              </w:rPr>
            </w:pPr>
            <w:r w:rsidRPr="00F11044">
              <w:rPr>
                <w:sz w:val="24"/>
                <w:szCs w:val="24"/>
              </w:rPr>
              <w:t>привлечение кредитов</w:t>
            </w:r>
          </w:p>
        </w:tc>
        <w:tc>
          <w:tcPr>
            <w:tcW w:w="1472" w:type="dxa"/>
          </w:tcPr>
          <w:p w14:paraId="5206C573" w14:textId="77777777" w:rsidR="00F11044" w:rsidRPr="00F11044" w:rsidRDefault="00F11044" w:rsidP="00F11044">
            <w:pPr>
              <w:widowControl w:val="0"/>
              <w:autoSpaceDE w:val="0"/>
              <w:autoSpaceDN w:val="0"/>
              <w:adjustRightInd w:val="0"/>
              <w:jc w:val="center"/>
              <w:rPr>
                <w:sz w:val="24"/>
                <w:szCs w:val="24"/>
              </w:rPr>
            </w:pPr>
          </w:p>
        </w:tc>
        <w:tc>
          <w:tcPr>
            <w:tcW w:w="1473" w:type="dxa"/>
          </w:tcPr>
          <w:p w14:paraId="68D1B659" w14:textId="77777777" w:rsidR="00F11044" w:rsidRPr="00F11044" w:rsidRDefault="00F11044" w:rsidP="00F11044">
            <w:pPr>
              <w:widowControl w:val="0"/>
              <w:autoSpaceDE w:val="0"/>
              <w:autoSpaceDN w:val="0"/>
              <w:adjustRightInd w:val="0"/>
              <w:jc w:val="center"/>
              <w:rPr>
                <w:sz w:val="24"/>
                <w:szCs w:val="24"/>
              </w:rPr>
            </w:pPr>
          </w:p>
        </w:tc>
        <w:tc>
          <w:tcPr>
            <w:tcW w:w="1620" w:type="dxa"/>
          </w:tcPr>
          <w:p w14:paraId="504D71E9" w14:textId="77777777" w:rsidR="00F11044" w:rsidRPr="00F11044" w:rsidRDefault="00F11044" w:rsidP="00F11044">
            <w:pPr>
              <w:widowControl w:val="0"/>
              <w:autoSpaceDE w:val="0"/>
              <w:autoSpaceDN w:val="0"/>
              <w:adjustRightInd w:val="0"/>
              <w:jc w:val="center"/>
              <w:rPr>
                <w:sz w:val="24"/>
                <w:szCs w:val="24"/>
              </w:rPr>
            </w:pPr>
          </w:p>
        </w:tc>
      </w:tr>
      <w:tr w:rsidR="00F11044" w:rsidRPr="00F11044" w14:paraId="55697438" w14:textId="77777777" w:rsidTr="0083054E">
        <w:trPr>
          <w:trHeight w:val="39"/>
        </w:trPr>
        <w:tc>
          <w:tcPr>
            <w:tcW w:w="4462" w:type="dxa"/>
          </w:tcPr>
          <w:p w14:paraId="1D44B745" w14:textId="77777777" w:rsidR="00F11044" w:rsidRPr="00F11044" w:rsidRDefault="00F11044" w:rsidP="00F11044">
            <w:pPr>
              <w:widowControl w:val="0"/>
              <w:autoSpaceDE w:val="0"/>
              <w:autoSpaceDN w:val="0"/>
              <w:adjustRightInd w:val="0"/>
              <w:rPr>
                <w:sz w:val="24"/>
                <w:szCs w:val="24"/>
              </w:rPr>
            </w:pPr>
            <w:r w:rsidRPr="00F11044">
              <w:rPr>
                <w:sz w:val="24"/>
                <w:szCs w:val="24"/>
              </w:rPr>
              <w:t>погашение кредитов</w:t>
            </w:r>
          </w:p>
        </w:tc>
        <w:tc>
          <w:tcPr>
            <w:tcW w:w="1472" w:type="dxa"/>
          </w:tcPr>
          <w:p w14:paraId="7037932D" w14:textId="77777777" w:rsidR="00F11044" w:rsidRPr="00F11044" w:rsidRDefault="00F11044" w:rsidP="00F11044">
            <w:pPr>
              <w:widowControl w:val="0"/>
              <w:autoSpaceDE w:val="0"/>
              <w:autoSpaceDN w:val="0"/>
              <w:adjustRightInd w:val="0"/>
              <w:jc w:val="center"/>
              <w:rPr>
                <w:sz w:val="24"/>
                <w:szCs w:val="24"/>
              </w:rPr>
            </w:pPr>
          </w:p>
        </w:tc>
        <w:tc>
          <w:tcPr>
            <w:tcW w:w="1473" w:type="dxa"/>
          </w:tcPr>
          <w:p w14:paraId="1F161FA2" w14:textId="77777777" w:rsidR="00F11044" w:rsidRPr="00F11044" w:rsidRDefault="00F11044" w:rsidP="00F11044">
            <w:pPr>
              <w:widowControl w:val="0"/>
              <w:autoSpaceDE w:val="0"/>
              <w:autoSpaceDN w:val="0"/>
              <w:adjustRightInd w:val="0"/>
              <w:jc w:val="center"/>
              <w:rPr>
                <w:sz w:val="24"/>
                <w:szCs w:val="24"/>
              </w:rPr>
            </w:pPr>
          </w:p>
        </w:tc>
        <w:tc>
          <w:tcPr>
            <w:tcW w:w="1620" w:type="dxa"/>
          </w:tcPr>
          <w:p w14:paraId="2EC84E1D" w14:textId="77777777" w:rsidR="00F11044" w:rsidRPr="00F11044" w:rsidRDefault="00F11044" w:rsidP="00F11044">
            <w:pPr>
              <w:widowControl w:val="0"/>
              <w:autoSpaceDE w:val="0"/>
              <w:autoSpaceDN w:val="0"/>
              <w:adjustRightInd w:val="0"/>
              <w:jc w:val="center"/>
              <w:rPr>
                <w:sz w:val="24"/>
                <w:szCs w:val="24"/>
              </w:rPr>
            </w:pPr>
          </w:p>
        </w:tc>
      </w:tr>
      <w:tr w:rsidR="00F11044" w:rsidRPr="00F11044" w14:paraId="6E01680B" w14:textId="77777777" w:rsidTr="0083054E">
        <w:trPr>
          <w:trHeight w:val="66"/>
        </w:trPr>
        <w:tc>
          <w:tcPr>
            <w:tcW w:w="4462" w:type="dxa"/>
          </w:tcPr>
          <w:p w14:paraId="499C5F56" w14:textId="77777777" w:rsidR="00F11044" w:rsidRPr="00F11044" w:rsidRDefault="00F11044" w:rsidP="00F11044">
            <w:pPr>
              <w:widowControl w:val="0"/>
              <w:autoSpaceDE w:val="0"/>
              <w:autoSpaceDN w:val="0"/>
              <w:adjustRightInd w:val="0"/>
              <w:rPr>
                <w:b/>
                <w:sz w:val="24"/>
                <w:szCs w:val="24"/>
              </w:rPr>
            </w:pPr>
            <w:r w:rsidRPr="00F11044">
              <w:rPr>
                <w:b/>
                <w:sz w:val="24"/>
                <w:szCs w:val="24"/>
              </w:rPr>
              <w:t>Итого по программе</w:t>
            </w:r>
          </w:p>
        </w:tc>
        <w:tc>
          <w:tcPr>
            <w:tcW w:w="1472" w:type="dxa"/>
          </w:tcPr>
          <w:p w14:paraId="0F023BAA" w14:textId="77777777" w:rsidR="00F11044" w:rsidRPr="00F11044" w:rsidRDefault="00F11044" w:rsidP="00F11044">
            <w:pPr>
              <w:widowControl w:val="0"/>
              <w:autoSpaceDE w:val="0"/>
              <w:autoSpaceDN w:val="0"/>
              <w:adjustRightInd w:val="0"/>
              <w:ind w:left="27" w:hanging="27"/>
              <w:jc w:val="center"/>
              <w:rPr>
                <w:b/>
                <w:sz w:val="24"/>
                <w:szCs w:val="24"/>
              </w:rPr>
            </w:pPr>
            <w:r w:rsidRPr="00F11044">
              <w:rPr>
                <w:b/>
                <w:sz w:val="24"/>
                <w:szCs w:val="24"/>
              </w:rPr>
              <w:t>-4300</w:t>
            </w:r>
          </w:p>
        </w:tc>
        <w:tc>
          <w:tcPr>
            <w:tcW w:w="1473" w:type="dxa"/>
          </w:tcPr>
          <w:p w14:paraId="63B79EEE" w14:textId="77777777" w:rsidR="00F11044" w:rsidRPr="00F11044" w:rsidRDefault="00F11044" w:rsidP="00F11044">
            <w:pPr>
              <w:widowControl w:val="0"/>
              <w:autoSpaceDE w:val="0"/>
              <w:autoSpaceDN w:val="0"/>
              <w:adjustRightInd w:val="0"/>
              <w:ind w:left="27" w:hanging="27"/>
              <w:jc w:val="center"/>
              <w:rPr>
                <w:b/>
                <w:sz w:val="24"/>
                <w:szCs w:val="24"/>
              </w:rPr>
            </w:pPr>
            <w:r w:rsidRPr="00F11044">
              <w:rPr>
                <w:b/>
                <w:sz w:val="24"/>
                <w:szCs w:val="24"/>
              </w:rPr>
              <w:t>-2000</w:t>
            </w:r>
          </w:p>
        </w:tc>
        <w:tc>
          <w:tcPr>
            <w:tcW w:w="1620" w:type="dxa"/>
          </w:tcPr>
          <w:p w14:paraId="1658F6D1" w14:textId="77777777" w:rsidR="00F11044" w:rsidRPr="00F11044" w:rsidRDefault="00F11044" w:rsidP="00F11044">
            <w:pPr>
              <w:widowControl w:val="0"/>
              <w:autoSpaceDE w:val="0"/>
              <w:autoSpaceDN w:val="0"/>
              <w:adjustRightInd w:val="0"/>
              <w:ind w:left="27" w:hanging="27"/>
              <w:jc w:val="center"/>
              <w:rPr>
                <w:b/>
                <w:sz w:val="24"/>
                <w:szCs w:val="24"/>
              </w:rPr>
            </w:pPr>
            <w:r w:rsidRPr="00F11044">
              <w:rPr>
                <w:b/>
                <w:sz w:val="24"/>
                <w:szCs w:val="24"/>
              </w:rPr>
              <w:t>-2000</w:t>
            </w:r>
          </w:p>
        </w:tc>
      </w:tr>
    </w:tbl>
    <w:p w14:paraId="47017012" w14:textId="77777777" w:rsidR="00F11044" w:rsidRPr="00F11044" w:rsidRDefault="00F11044" w:rsidP="00F11044">
      <w:pPr>
        <w:contextualSpacing/>
        <w:jc w:val="both"/>
        <w:rPr>
          <w:sz w:val="24"/>
          <w:szCs w:val="24"/>
        </w:rPr>
      </w:pPr>
    </w:p>
    <w:p w14:paraId="1D3548F8" w14:textId="77777777" w:rsidR="00F11044" w:rsidRPr="00F11044" w:rsidRDefault="00F11044" w:rsidP="00F11044">
      <w:pPr>
        <w:ind w:firstLine="709"/>
        <w:contextualSpacing/>
        <w:jc w:val="both"/>
        <w:rPr>
          <w:sz w:val="24"/>
          <w:szCs w:val="24"/>
        </w:rPr>
      </w:pPr>
      <w:r w:rsidRPr="00F11044">
        <w:rPr>
          <w:sz w:val="24"/>
          <w:szCs w:val="24"/>
        </w:rPr>
        <w:t>В целом Проект решения Представительного Собрания Нюксенского муниципального округа «О внесении изменений в решение Представительного Собрания Нюксенского муниципального округа от 15.12.2023 года № 108» соответствует требованиям бюджетного законодательства и может быть рассмотрен Представительным Собранием с учетом указанных замечаний и предложений.</w:t>
      </w:r>
    </w:p>
    <w:p w14:paraId="203D1130" w14:textId="77777777" w:rsidR="00F11044" w:rsidRPr="00F11044" w:rsidRDefault="00F11044" w:rsidP="00F11044">
      <w:pPr>
        <w:ind w:firstLine="709"/>
        <w:contextualSpacing/>
        <w:jc w:val="both"/>
        <w:rPr>
          <w:sz w:val="24"/>
          <w:szCs w:val="24"/>
        </w:rPr>
      </w:pPr>
    </w:p>
    <w:bookmarkEnd w:id="0"/>
    <w:p w14:paraId="33E319DA" w14:textId="77777777" w:rsidR="00471CF9" w:rsidRPr="00471CF9" w:rsidRDefault="00471CF9" w:rsidP="00F11044">
      <w:pPr>
        <w:spacing w:line="240" w:lineRule="exact"/>
        <w:jc w:val="both"/>
        <w:rPr>
          <w:sz w:val="24"/>
          <w:szCs w:val="24"/>
        </w:rPr>
      </w:pPr>
    </w:p>
    <w:sectPr w:rsidR="00471CF9" w:rsidRPr="00471CF9"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1"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3"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18"/>
  </w:num>
  <w:num w:numId="2" w16cid:durableId="117452608">
    <w:abstractNumId w:val="11"/>
  </w:num>
  <w:num w:numId="3" w16cid:durableId="1482505488">
    <w:abstractNumId w:val="5"/>
  </w:num>
  <w:num w:numId="4" w16cid:durableId="1889220925">
    <w:abstractNumId w:val="1"/>
  </w:num>
  <w:num w:numId="5" w16cid:durableId="323120651">
    <w:abstractNumId w:val="14"/>
  </w:num>
  <w:num w:numId="6" w16cid:durableId="1056197142">
    <w:abstractNumId w:val="8"/>
  </w:num>
  <w:num w:numId="7" w16cid:durableId="1497840487">
    <w:abstractNumId w:val="12"/>
  </w:num>
  <w:num w:numId="8" w16cid:durableId="264967709">
    <w:abstractNumId w:val="2"/>
  </w:num>
  <w:num w:numId="9" w16cid:durableId="290286745">
    <w:abstractNumId w:val="6"/>
  </w:num>
  <w:num w:numId="10" w16cid:durableId="698240347">
    <w:abstractNumId w:val="24"/>
  </w:num>
  <w:num w:numId="11" w16cid:durableId="1100101546">
    <w:abstractNumId w:val="4"/>
  </w:num>
  <w:num w:numId="12" w16cid:durableId="628708139">
    <w:abstractNumId w:val="22"/>
  </w:num>
  <w:num w:numId="13" w16cid:durableId="814106637">
    <w:abstractNumId w:val="20"/>
  </w:num>
  <w:num w:numId="14" w16cid:durableId="1259754728">
    <w:abstractNumId w:val="23"/>
  </w:num>
  <w:num w:numId="15" w16cid:durableId="1677806706">
    <w:abstractNumId w:val="9"/>
  </w:num>
  <w:num w:numId="16" w16cid:durableId="298657470">
    <w:abstractNumId w:val="13"/>
  </w:num>
  <w:num w:numId="17" w16cid:durableId="1613172402">
    <w:abstractNumId w:val="0"/>
  </w:num>
  <w:num w:numId="18" w16cid:durableId="2054304275">
    <w:abstractNumId w:val="16"/>
  </w:num>
  <w:num w:numId="19" w16cid:durableId="419326851">
    <w:abstractNumId w:val="3"/>
  </w:num>
  <w:num w:numId="20" w16cid:durableId="712997888">
    <w:abstractNumId w:val="7"/>
  </w:num>
  <w:num w:numId="21" w16cid:durableId="1170171990">
    <w:abstractNumId w:val="10"/>
  </w:num>
  <w:num w:numId="22" w16cid:durableId="1457866846">
    <w:abstractNumId w:val="15"/>
  </w:num>
  <w:num w:numId="23" w16cid:durableId="426312366">
    <w:abstractNumId w:val="17"/>
  </w:num>
  <w:num w:numId="24" w16cid:durableId="1047679768">
    <w:abstractNumId w:val="25"/>
  </w:num>
  <w:num w:numId="25" w16cid:durableId="1348680704">
    <w:abstractNumId w:val="19"/>
  </w:num>
  <w:num w:numId="26" w16cid:durableId="1362703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2024-07-26T12:43:00Z</cp:lastPrinted>
  <dcterms:created xsi:type="dcterms:W3CDTF">2024-07-26T12:39:00Z</dcterms:created>
  <dcterms:modified xsi:type="dcterms:W3CDTF">2024-07-26T13:37:00Z</dcterms:modified>
</cp:coreProperties>
</file>