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0BC46ECE" w14:textId="77777777" w:rsidR="00B57EDF" w:rsidRPr="00B57EDF" w:rsidRDefault="00B57EDF" w:rsidP="00B57EDF">
      <w:pPr>
        <w:spacing w:line="240" w:lineRule="exact"/>
        <w:ind w:firstLine="284"/>
        <w:jc w:val="both"/>
        <w:rPr>
          <w:rFonts w:eastAsia="Calibri"/>
          <w:sz w:val="24"/>
          <w:szCs w:val="24"/>
          <w:lang w:eastAsia="en-US"/>
        </w:rPr>
      </w:pPr>
    </w:p>
    <w:p w14:paraId="3DA16778" w14:textId="77777777" w:rsidR="00D05BB4" w:rsidRPr="00D05BB4" w:rsidRDefault="00D05BB4" w:rsidP="00D05BB4">
      <w:pPr>
        <w:widowControl w:val="0"/>
        <w:autoSpaceDE w:val="0"/>
        <w:autoSpaceDN w:val="0"/>
        <w:adjustRightInd w:val="0"/>
        <w:spacing w:line="240" w:lineRule="exact"/>
        <w:jc w:val="both"/>
        <w:rPr>
          <w:rFonts w:eastAsia="Calibri"/>
          <w:sz w:val="28"/>
          <w:szCs w:val="28"/>
          <w:lang w:eastAsia="en-US"/>
        </w:rPr>
      </w:pPr>
      <w:r w:rsidRPr="00D05BB4">
        <w:rPr>
          <w:rFonts w:eastAsia="Calibri"/>
          <w:sz w:val="28"/>
          <w:szCs w:val="28"/>
          <w:lang w:eastAsia="en-US"/>
        </w:rPr>
        <w:t xml:space="preserve">на проект постановления администрации Нюксенского муниципального округа Вологодской области «Об утверждении муниципальной программы </w:t>
      </w:r>
      <w:bookmarkStart w:id="0" w:name="_Hlk181182216"/>
      <w:r w:rsidRPr="00D05BB4">
        <w:rPr>
          <w:rFonts w:eastAsia="Calibri"/>
          <w:sz w:val="28"/>
          <w:szCs w:val="28"/>
          <w:lang w:eastAsia="en-US"/>
        </w:rPr>
        <w:t>«Развитие образования Нюксенского муниципального округа»</w:t>
      </w:r>
    </w:p>
    <w:bookmarkEnd w:id="0"/>
    <w:p w14:paraId="740B333E" w14:textId="77777777" w:rsidR="00D05BB4" w:rsidRPr="00D05BB4" w:rsidRDefault="00D05BB4" w:rsidP="00D05BB4">
      <w:pPr>
        <w:widowControl w:val="0"/>
        <w:autoSpaceDE w:val="0"/>
        <w:autoSpaceDN w:val="0"/>
        <w:adjustRightInd w:val="0"/>
        <w:jc w:val="both"/>
        <w:rPr>
          <w:rFonts w:eastAsia="Calibri"/>
          <w:sz w:val="28"/>
          <w:szCs w:val="28"/>
          <w:lang w:eastAsia="en-US"/>
        </w:rPr>
      </w:pPr>
    </w:p>
    <w:p w14:paraId="6CB9CAC1" w14:textId="77777777" w:rsidR="00D05BB4" w:rsidRPr="00D05BB4" w:rsidRDefault="00D05BB4" w:rsidP="00D05BB4">
      <w:pPr>
        <w:widowControl w:val="0"/>
        <w:autoSpaceDE w:val="0"/>
        <w:autoSpaceDN w:val="0"/>
        <w:adjustRightInd w:val="0"/>
        <w:rPr>
          <w:rFonts w:eastAsia="Calibri"/>
          <w:sz w:val="28"/>
          <w:szCs w:val="28"/>
          <w:lang w:eastAsia="en-US"/>
        </w:rPr>
      </w:pPr>
      <w:r w:rsidRPr="00D05BB4">
        <w:rPr>
          <w:rFonts w:eastAsia="Calibri"/>
          <w:sz w:val="28"/>
          <w:szCs w:val="28"/>
          <w:lang w:eastAsia="en-US"/>
        </w:rPr>
        <w:t>от 05 ноября 2024 года                                                                             № 32-э</w:t>
      </w:r>
    </w:p>
    <w:p w14:paraId="2EA44A6C" w14:textId="77777777" w:rsidR="00D05BB4" w:rsidRPr="00D05BB4" w:rsidRDefault="00D05BB4" w:rsidP="00D05BB4">
      <w:pPr>
        <w:widowControl w:val="0"/>
        <w:autoSpaceDE w:val="0"/>
        <w:autoSpaceDN w:val="0"/>
        <w:adjustRightInd w:val="0"/>
        <w:rPr>
          <w:rFonts w:eastAsia="Calibri"/>
          <w:sz w:val="28"/>
          <w:szCs w:val="28"/>
          <w:lang w:eastAsia="en-US"/>
        </w:rPr>
      </w:pPr>
    </w:p>
    <w:p w14:paraId="6FC7D1E5" w14:textId="77777777" w:rsidR="00D05BB4" w:rsidRPr="00D05BB4" w:rsidRDefault="00D05BB4" w:rsidP="00D05BB4">
      <w:pPr>
        <w:tabs>
          <w:tab w:val="left" w:pos="567"/>
        </w:tabs>
        <w:jc w:val="both"/>
        <w:rPr>
          <w:rFonts w:eastAsia="Calibri"/>
          <w:sz w:val="28"/>
          <w:szCs w:val="28"/>
          <w:lang w:eastAsia="en-US"/>
        </w:rPr>
      </w:pPr>
      <w:r w:rsidRPr="00D05BB4">
        <w:rPr>
          <w:rFonts w:eastAsia="Calibri"/>
          <w:b/>
          <w:bCs/>
          <w:color w:val="000000"/>
          <w:sz w:val="28"/>
          <w:szCs w:val="28"/>
          <w:lang w:eastAsia="en-US"/>
        </w:rPr>
        <w:tab/>
      </w:r>
      <w:r w:rsidRPr="00D05BB4">
        <w:rPr>
          <w:rFonts w:eastAsia="Calibri"/>
          <w:sz w:val="28"/>
          <w:szCs w:val="28"/>
          <w:lang w:eastAsia="en-US"/>
        </w:rPr>
        <w:t xml:space="preserve">На основании </w:t>
      </w:r>
      <w:hyperlink r:id="rId8" w:history="1">
        <w:r w:rsidRPr="00D05BB4">
          <w:rPr>
            <w:rFonts w:eastAsia="Calibri"/>
            <w:sz w:val="28"/>
            <w:szCs w:val="28"/>
            <w:lang w:eastAsia="en-US"/>
          </w:rPr>
          <w:t>пункта 7 статьи 8</w:t>
        </w:r>
      </w:hyperlink>
      <w:r w:rsidRPr="00D05BB4">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1" w:name="_Hlk19638358"/>
      <w:r w:rsidRPr="00D05BB4">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Start w:id="2" w:name="_Hlk181182336"/>
      <w:bookmarkEnd w:id="1"/>
      <w:r w:rsidRPr="00D05BB4">
        <w:rPr>
          <w:rFonts w:eastAsia="Calibri"/>
          <w:sz w:val="28"/>
          <w:szCs w:val="28"/>
          <w:lang w:eastAsia="en-US"/>
        </w:rPr>
        <w:t xml:space="preserve">«Развитие образования Нюксенского муниципального округа» </w:t>
      </w:r>
      <w:bookmarkEnd w:id="2"/>
      <w:r w:rsidRPr="00D05BB4">
        <w:rPr>
          <w:rFonts w:eastAsia="Calibri"/>
          <w:sz w:val="28"/>
          <w:szCs w:val="28"/>
          <w:lang w:eastAsia="en-US"/>
        </w:rPr>
        <w:t>(далее – Проект постановления).</w:t>
      </w:r>
    </w:p>
    <w:p w14:paraId="5FCC3507" w14:textId="77777777" w:rsidR="00D05BB4" w:rsidRPr="00D05BB4" w:rsidRDefault="00D05BB4" w:rsidP="00D05BB4">
      <w:pPr>
        <w:tabs>
          <w:tab w:val="left" w:pos="567"/>
        </w:tabs>
        <w:jc w:val="both"/>
        <w:rPr>
          <w:rFonts w:eastAsia="Calibri"/>
          <w:sz w:val="28"/>
          <w:szCs w:val="28"/>
          <w:lang w:eastAsia="en-US"/>
        </w:rPr>
      </w:pPr>
      <w:r w:rsidRPr="00D05BB4">
        <w:rPr>
          <w:rFonts w:eastAsia="Calibri"/>
          <w:color w:val="FF0000"/>
          <w:sz w:val="28"/>
          <w:szCs w:val="28"/>
          <w:lang w:eastAsia="en-US"/>
        </w:rPr>
        <w:tab/>
      </w:r>
      <w:r w:rsidRPr="00D05BB4">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Управлением образования администрацией Нюксенского муниципального округа (далее-управление образования округа) (письмо от 02.11.2024 №01-08/801, входящий №61 от 02.11.2024): проект постановления; пояснительная записка к Проекту постановления администрации округа.</w:t>
      </w:r>
    </w:p>
    <w:p w14:paraId="381B2AAE"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Муниципальная программа «Развитие образования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05412696"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Ответственный исполнитель Программы – Управление образования администрации Нюксенского муниципального округа Вологодской области.</w:t>
      </w:r>
    </w:p>
    <w:p w14:paraId="2F720602" w14:textId="77777777" w:rsidR="00D05BB4" w:rsidRPr="00D05BB4" w:rsidRDefault="00D05BB4" w:rsidP="00D05BB4">
      <w:pPr>
        <w:shd w:val="clear" w:color="auto" w:fill="FFFFFF"/>
        <w:ind w:firstLine="567"/>
        <w:jc w:val="both"/>
        <w:rPr>
          <w:rFonts w:eastAsia="Calibri"/>
          <w:sz w:val="28"/>
          <w:szCs w:val="28"/>
          <w:lang w:eastAsia="en-US"/>
        </w:rPr>
      </w:pPr>
      <w:r w:rsidRPr="00D05BB4">
        <w:rPr>
          <w:rFonts w:eastAsia="Calibri"/>
          <w:sz w:val="28"/>
          <w:szCs w:val="28"/>
          <w:lang w:eastAsia="en-US"/>
        </w:rPr>
        <w:t>Соисполнители Программы – Отделение занятости населения по Нюксенскому округу КУ ВО «Центр занятости населения Вологодской области».</w:t>
      </w:r>
    </w:p>
    <w:p w14:paraId="445D5970" w14:textId="77777777" w:rsidR="00D05BB4" w:rsidRPr="00D05BB4" w:rsidRDefault="00D05BB4" w:rsidP="00D05BB4">
      <w:pPr>
        <w:shd w:val="clear" w:color="auto" w:fill="FFFFFF"/>
        <w:ind w:firstLine="567"/>
        <w:jc w:val="both"/>
        <w:rPr>
          <w:rFonts w:eastAsia="Calibri"/>
          <w:sz w:val="28"/>
          <w:szCs w:val="28"/>
          <w:lang w:eastAsia="en-US"/>
        </w:rPr>
      </w:pPr>
      <w:r w:rsidRPr="00D05BB4">
        <w:rPr>
          <w:rFonts w:eastAsia="Calibri"/>
          <w:sz w:val="28"/>
          <w:szCs w:val="28"/>
          <w:lang w:eastAsia="en-US"/>
        </w:rPr>
        <w:t xml:space="preserve">Участники Программы: БОУ «Нюксенская СОШ», БОУ 2Городищенская СОШ», БОУ «Игмасская ООШ». БОУ «Левашская ООШ», БОУ «Лесютинская ООШ», БОУ «Нюксенская НОШ», БДОУ «Центр развития ребёнка-Нюксенский </w:t>
      </w:r>
      <w:r w:rsidRPr="00D05BB4">
        <w:rPr>
          <w:rFonts w:eastAsia="Calibri"/>
          <w:sz w:val="28"/>
          <w:szCs w:val="28"/>
          <w:lang w:eastAsia="en-US"/>
        </w:rPr>
        <w:lastRenderedPageBreak/>
        <w:t>ДС», БДОУ «Городищенский ДС», МБУДО «Нюксенский рДТ», МБУДО «Нюксенская ДЮСШ».</w:t>
      </w:r>
    </w:p>
    <w:p w14:paraId="4C3CE7F1"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579AE29D"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6BF4879C"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3" w:name="_Hlk175647025"/>
      <w:r w:rsidRPr="00D05BB4">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3"/>
    <w:p w14:paraId="1F035F10"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Объем финансовых средств на реализацию Программы за счет средств бюджета округа составит 2 294 190,4 тыс. рублей</w:t>
      </w:r>
      <w:bookmarkStart w:id="4" w:name="_Hlk181182614"/>
      <w:r w:rsidRPr="00D05BB4">
        <w:rPr>
          <w:rFonts w:eastAsia="Calibri"/>
          <w:sz w:val="28"/>
          <w:szCs w:val="28"/>
          <w:lang w:eastAsia="en-US"/>
        </w:rPr>
        <w:t xml:space="preserve">, в том числе за счет федерального бюджета 135 791,3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1 411 061,0 тыс.рублей, муниципального бюджета в сумме 747 338,1 тыс.рублей</w:t>
      </w:r>
      <w:bookmarkEnd w:id="4"/>
      <w:r w:rsidRPr="00D05BB4">
        <w:rPr>
          <w:rFonts w:eastAsia="Calibri"/>
          <w:sz w:val="28"/>
          <w:szCs w:val="28"/>
          <w:lang w:eastAsia="en-US"/>
        </w:rPr>
        <w:t xml:space="preserve">, </w:t>
      </w:r>
      <w:bookmarkStart w:id="5" w:name="_Hlk146624211"/>
      <w:r w:rsidRPr="00D05BB4">
        <w:rPr>
          <w:rFonts w:eastAsia="Calibri"/>
          <w:sz w:val="28"/>
          <w:szCs w:val="28"/>
          <w:lang w:eastAsia="en-US"/>
        </w:rPr>
        <w:t>в том числе по годам реализации:</w:t>
      </w:r>
    </w:p>
    <w:p w14:paraId="5F62B829"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2025 год – 424 935,5 тыс. рублей, в том числе за счет федерального бюджета в сумме 58 369,7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239 963,9 тыс.рублей, муниципального бюджета в сумме 126 601,9  тыс.рублей;</w:t>
      </w:r>
    </w:p>
    <w:bookmarkEnd w:id="5"/>
    <w:p w14:paraId="693FE471"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2026 год – 397 131,7 тыс. рублей, в том числе за счет федерального бюджета в сумме 28 653,6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243 998,3 тыс.рублей, муниципального бюджета в сумме 124 479,8 тыс.рублей;</w:t>
      </w:r>
    </w:p>
    <w:p w14:paraId="532BC44D"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2027 год – 368 375,8 тыс. рублей, в том числе за счет федерального бюджета в сумме 12 192,0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231 774,7 тыс.рублей, муниципального бюджета в сумме 124 409,1  тыс.рублей;</w:t>
      </w:r>
    </w:p>
    <w:p w14:paraId="5116A479"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2028 год – 367 995,8 тыс. рублей, в том числе за счет федерального бюджета в сумме 12 192,0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231 774,7 тыс.рублей, муниципального бюджета в сумме 124 029,1  тыс.рублей;</w:t>
      </w:r>
    </w:p>
    <w:p w14:paraId="6CB0A260"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2029 год – 367 875,8 тыс. рублей, в том числе за счет федерального бюджета в сумме 12 192,0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231 774,7 тыс.рублей, муниципального бюджета в сумме 123 909,1  тыс.рублей;</w:t>
      </w:r>
    </w:p>
    <w:p w14:paraId="4F5236B5"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2030 год – 367 875,8 тыс. рублей, в том числе за счет федерального бюджета в сумме 12 192,0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 областного бюджета в сумме 231 774,7 тыс.рублей, муниципального бюджета в сумме 123 909,1  тыс.рублей.</w:t>
      </w:r>
    </w:p>
    <w:p w14:paraId="2009A515"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Программы включают в себя подпрограммы:</w:t>
      </w:r>
    </w:p>
    <w:p w14:paraId="2D0EDC9D"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Подпрограмма 1 «Развитие дошкольного, общего и дополнительного образования детей» с объемом финансирования 2 262 606,4 тыс. рублей;</w:t>
      </w:r>
    </w:p>
    <w:p w14:paraId="2E323F8A"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Подпрограмма 2 «Обеспечение создания условий для реализации программы» с объемом финансирования 28 284,0 тыс. рублей;</w:t>
      </w:r>
    </w:p>
    <w:p w14:paraId="58BC5611"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Подпрограмма 3 «Создание условий временного трудоустройства </w:t>
      </w:r>
      <w:r w:rsidRPr="00D05BB4">
        <w:rPr>
          <w:rFonts w:eastAsia="Calibri"/>
          <w:sz w:val="28"/>
          <w:szCs w:val="28"/>
          <w:lang w:eastAsia="en-US"/>
        </w:rPr>
        <w:lastRenderedPageBreak/>
        <w:t>несовершеннолетних граждан» с объемом финансирования 3 300,0 тыс. рублей;</w:t>
      </w:r>
    </w:p>
    <w:p w14:paraId="4C3EA836"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Структура Программы содержит проектную и процессную часть.</w:t>
      </w:r>
    </w:p>
    <w:p w14:paraId="1AC7F7E3"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Достижение целей и решения задач Программы осуществляется путем реализации мероприятий структурных элементов Программы:</w:t>
      </w:r>
    </w:p>
    <w:p w14:paraId="047D71E5"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bookmarkStart w:id="6" w:name="_Hlk21083921"/>
      <w:r w:rsidRPr="00D05BB4">
        <w:rPr>
          <w:rFonts w:eastAsia="Calibri"/>
          <w:sz w:val="28"/>
          <w:szCs w:val="28"/>
          <w:lang w:eastAsia="en-US"/>
        </w:rPr>
        <w:t xml:space="preserve">1.Проект «Модернизация школьных систем образования», общий объем финансирования проекта 91 427,8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5B871B08"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2.Реализация комплекса процессных мероприятий «Развитие дошкольного, общего и дополнительного образования детей», общий объем финансирования проекта 2 081 659,4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6924EEA0"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3.Реализация комплекса процессных мероприятий «Обеспечение создания условий для проявления и развития способностей обучающихся и самореализации», общий объем финансирования проекта 10 000,3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48E35F78"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4.Реализация комплекса процессных мероприятий «Обеспечение создания условий для реализации программы», общий объем финансирования проекта 28 284,0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55D25549"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5. Проект «Создание условий временного трудоустройства несовершеннолетних граждан», общий объем финансирования проекта 3 300,0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011EB16F"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6. Реализация комплекса процессных мероприятий «Обеспечение предоставления мер социальной поддержки», общий объем финансирования проекта 79 518,9 </w:t>
      </w:r>
      <w:proofErr w:type="gramStart"/>
      <w:r w:rsidRPr="00D05BB4">
        <w:rPr>
          <w:rFonts w:eastAsia="Calibri"/>
          <w:sz w:val="28"/>
          <w:szCs w:val="28"/>
          <w:lang w:eastAsia="en-US"/>
        </w:rPr>
        <w:t>тыс.рублей</w:t>
      </w:r>
      <w:proofErr w:type="gramEnd"/>
      <w:r w:rsidRPr="00D05BB4">
        <w:rPr>
          <w:rFonts w:eastAsia="Calibri"/>
          <w:sz w:val="28"/>
          <w:szCs w:val="28"/>
          <w:lang w:eastAsia="en-US"/>
        </w:rPr>
        <w:t>.</w:t>
      </w:r>
    </w:p>
    <w:p w14:paraId="11898F9F"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Установлена связь с государственной программой «Развитие образования Вологодской области на 2021-2025 годы». </w:t>
      </w:r>
    </w:p>
    <w:p w14:paraId="65578540"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Структура и перечень мероприятий в целом соответствуют сфере реализации Программы</w:t>
      </w:r>
    </w:p>
    <w:bookmarkEnd w:id="6"/>
    <w:p w14:paraId="699FE052"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356D99E2"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48B542C0"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r w:rsidRPr="00D05BB4">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6CCE9CCF" w14:textId="77777777" w:rsidR="00D05BB4" w:rsidRPr="00D05BB4" w:rsidRDefault="00D05BB4" w:rsidP="00D05BB4">
      <w:pPr>
        <w:widowControl w:val="0"/>
        <w:autoSpaceDE w:val="0"/>
        <w:autoSpaceDN w:val="0"/>
        <w:adjustRightInd w:val="0"/>
        <w:ind w:firstLine="540"/>
        <w:jc w:val="both"/>
        <w:rPr>
          <w:rFonts w:eastAsia="Calibri"/>
          <w:sz w:val="28"/>
          <w:szCs w:val="28"/>
          <w:lang w:eastAsia="en-US"/>
        </w:rPr>
      </w:pPr>
    </w:p>
    <w:p w14:paraId="357AFA32" w14:textId="77777777" w:rsidR="00EF0046" w:rsidRPr="00EF0046" w:rsidRDefault="00EF0046" w:rsidP="00EF0046">
      <w:pPr>
        <w:widowControl w:val="0"/>
        <w:autoSpaceDE w:val="0"/>
        <w:autoSpaceDN w:val="0"/>
        <w:adjustRightInd w:val="0"/>
        <w:ind w:firstLine="540"/>
        <w:jc w:val="both"/>
        <w:rPr>
          <w:rFonts w:eastAsia="Calibri"/>
          <w:b/>
          <w:bCs/>
          <w:sz w:val="28"/>
          <w:szCs w:val="28"/>
          <w:lang w:eastAsia="en-US"/>
        </w:rPr>
      </w:pPr>
    </w:p>
    <w:p w14:paraId="49DD267B" w14:textId="77777777" w:rsidR="00EF0046" w:rsidRPr="00EF0046" w:rsidRDefault="00EF0046" w:rsidP="00EF0046">
      <w:pPr>
        <w:widowControl w:val="0"/>
        <w:autoSpaceDE w:val="0"/>
        <w:autoSpaceDN w:val="0"/>
        <w:adjustRightInd w:val="0"/>
        <w:ind w:firstLine="540"/>
        <w:jc w:val="both"/>
        <w:rPr>
          <w:rFonts w:eastAsia="Calibri"/>
          <w:b/>
          <w:bCs/>
          <w:sz w:val="26"/>
          <w:szCs w:val="26"/>
          <w:lang w:eastAsia="en-US"/>
        </w:rPr>
      </w:pPr>
    </w:p>
    <w:p w14:paraId="33E319DA" w14:textId="77777777" w:rsidR="00471CF9" w:rsidRPr="00471CF9" w:rsidRDefault="00471CF9" w:rsidP="00EF0046">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7"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2"/>
  </w:num>
  <w:num w:numId="2" w16cid:durableId="117452608">
    <w:abstractNumId w:val="13"/>
  </w:num>
  <w:num w:numId="3" w16cid:durableId="1482505488">
    <w:abstractNumId w:val="7"/>
  </w:num>
  <w:num w:numId="4" w16cid:durableId="1889220925">
    <w:abstractNumId w:val="2"/>
  </w:num>
  <w:num w:numId="5" w16cid:durableId="323120651">
    <w:abstractNumId w:val="18"/>
  </w:num>
  <w:num w:numId="6" w16cid:durableId="1056197142">
    <w:abstractNumId w:val="10"/>
  </w:num>
  <w:num w:numId="7" w16cid:durableId="1497840487">
    <w:abstractNumId w:val="15"/>
  </w:num>
  <w:num w:numId="8" w16cid:durableId="264967709">
    <w:abstractNumId w:val="3"/>
  </w:num>
  <w:num w:numId="9" w16cid:durableId="290286745">
    <w:abstractNumId w:val="8"/>
  </w:num>
  <w:num w:numId="10" w16cid:durableId="698240347">
    <w:abstractNumId w:val="28"/>
  </w:num>
  <w:num w:numId="11" w16cid:durableId="1100101546">
    <w:abstractNumId w:val="5"/>
  </w:num>
  <w:num w:numId="12" w16cid:durableId="628708139">
    <w:abstractNumId w:val="26"/>
  </w:num>
  <w:num w:numId="13" w16cid:durableId="814106637">
    <w:abstractNumId w:val="24"/>
  </w:num>
  <w:num w:numId="14" w16cid:durableId="1259754728">
    <w:abstractNumId w:val="27"/>
  </w:num>
  <w:num w:numId="15" w16cid:durableId="1677806706">
    <w:abstractNumId w:val="11"/>
  </w:num>
  <w:num w:numId="16" w16cid:durableId="298657470">
    <w:abstractNumId w:val="16"/>
  </w:num>
  <w:num w:numId="17" w16cid:durableId="1613172402">
    <w:abstractNumId w:val="0"/>
  </w:num>
  <w:num w:numId="18" w16cid:durableId="2054304275">
    <w:abstractNumId w:val="20"/>
  </w:num>
  <w:num w:numId="19" w16cid:durableId="419326851">
    <w:abstractNumId w:val="4"/>
  </w:num>
  <w:num w:numId="20" w16cid:durableId="712997888">
    <w:abstractNumId w:val="9"/>
  </w:num>
  <w:num w:numId="21" w16cid:durableId="1170171990">
    <w:abstractNumId w:val="12"/>
  </w:num>
  <w:num w:numId="22" w16cid:durableId="1457866846">
    <w:abstractNumId w:val="19"/>
  </w:num>
  <w:num w:numId="23" w16cid:durableId="426312366">
    <w:abstractNumId w:val="21"/>
  </w:num>
  <w:num w:numId="24" w16cid:durableId="1047679768">
    <w:abstractNumId w:val="29"/>
  </w:num>
  <w:num w:numId="25" w16cid:durableId="1348680704">
    <w:abstractNumId w:val="23"/>
  </w:num>
  <w:num w:numId="26" w16cid:durableId="1362703653">
    <w:abstractNumId w:val="25"/>
  </w:num>
  <w:num w:numId="27" w16cid:durableId="2015571565">
    <w:abstractNumId w:val="14"/>
  </w:num>
  <w:num w:numId="28" w16cid:durableId="376197893">
    <w:abstractNumId w:val="1"/>
  </w:num>
  <w:num w:numId="29" w16cid:durableId="1003432228">
    <w:abstractNumId w:val="17"/>
  </w:num>
  <w:num w:numId="30" w16cid:durableId="1389767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2024-07-26T12:43:00Z</cp:lastPrinted>
  <dcterms:created xsi:type="dcterms:W3CDTF">2024-10-29T08:47:00Z</dcterms:created>
  <dcterms:modified xsi:type="dcterms:W3CDTF">2024-12-05T08:52:00Z</dcterms:modified>
</cp:coreProperties>
</file>