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421B0D53" w14:textId="77777777" w:rsidR="00FC7097" w:rsidRPr="00E867FE" w:rsidRDefault="00FC7097" w:rsidP="00FC7097">
      <w:pPr>
        <w:ind w:firstLine="708"/>
        <w:jc w:val="right"/>
        <w:rPr>
          <w:b/>
          <w:bCs/>
          <w:sz w:val="22"/>
          <w:szCs w:val="24"/>
        </w:rPr>
      </w:pPr>
    </w:p>
    <w:p w14:paraId="22DB034B" w14:textId="479CEA4D" w:rsidR="00FC7097" w:rsidRPr="00FC7097" w:rsidRDefault="00FC7097" w:rsidP="00FC7097">
      <w:pPr>
        <w:ind w:firstLine="709"/>
        <w:jc w:val="both"/>
        <w:rPr>
          <w:sz w:val="24"/>
          <w:szCs w:val="24"/>
        </w:rPr>
      </w:pPr>
      <w:r w:rsidRPr="00FC7097">
        <w:rPr>
          <w:rFonts w:eastAsia="Calibri"/>
          <w:sz w:val="24"/>
          <w:szCs w:val="24"/>
          <w:lang w:eastAsia="en-US"/>
        </w:rPr>
        <w:t xml:space="preserve">Отчет об исполнении бюджета Нюксенского муниципального округа Вологодской области (далее-бюджет округа) за 1 полугодие 2024 года утвержден постановлением администрации Нюксенского муниципального округа Вологодской области </w:t>
      </w:r>
      <w:bookmarkStart w:id="0" w:name="_Hlk173320030"/>
      <w:r w:rsidRPr="00FC7097">
        <w:rPr>
          <w:rFonts w:eastAsia="Calibri"/>
          <w:sz w:val="24"/>
          <w:szCs w:val="24"/>
          <w:lang w:eastAsia="en-US"/>
        </w:rPr>
        <w:t xml:space="preserve">от </w:t>
      </w:r>
      <w:r>
        <w:rPr>
          <w:rFonts w:eastAsia="Calibri"/>
          <w:sz w:val="24"/>
          <w:szCs w:val="24"/>
          <w:lang w:eastAsia="en-US"/>
        </w:rPr>
        <w:t>31.07.2024</w:t>
      </w:r>
      <w:r w:rsidRPr="00FC7097">
        <w:rPr>
          <w:rFonts w:eastAsia="Calibri"/>
          <w:sz w:val="24"/>
          <w:szCs w:val="24"/>
          <w:lang w:eastAsia="en-US"/>
        </w:rPr>
        <w:t xml:space="preserve"> года №</w:t>
      </w:r>
      <w:r>
        <w:rPr>
          <w:rFonts w:eastAsia="Calibri"/>
          <w:sz w:val="24"/>
          <w:szCs w:val="24"/>
          <w:lang w:eastAsia="en-US"/>
        </w:rPr>
        <w:t>261</w:t>
      </w:r>
      <w:r w:rsidRPr="00FC7097">
        <w:rPr>
          <w:rFonts w:eastAsia="Calibri"/>
          <w:sz w:val="24"/>
          <w:szCs w:val="24"/>
          <w:lang w:eastAsia="en-US"/>
        </w:rPr>
        <w:t xml:space="preserve"> </w:t>
      </w:r>
      <w:bookmarkEnd w:id="0"/>
      <w:r w:rsidRPr="00FC7097">
        <w:rPr>
          <w:rFonts w:eastAsia="Calibri"/>
          <w:sz w:val="24"/>
          <w:szCs w:val="24"/>
          <w:lang w:eastAsia="en-US"/>
        </w:rPr>
        <w:t xml:space="preserve">по доходам в сумме 531 885,5 тыс. рублей, по расходам в сумме 507 733,1 тыс. рублей с профицитом в сумме 24 152,4 тыс. рублей, </w:t>
      </w:r>
      <w:r w:rsidRPr="00FC7097">
        <w:rPr>
          <w:sz w:val="24"/>
          <w:szCs w:val="24"/>
        </w:rPr>
        <w:t xml:space="preserve">в соответствии с Положением о бюджетном процессе в Нюксенском муниципальном округе и представлен в Контрольно-счетную комиссию Нюксенского муниципального округа Вологодской области (далее – контрольно-счетная комиссия) в соответствии требованиям статьи 264.2 Бюджетного кодекса Российской Федерации, в установленный срок (исходящий номер почты </w:t>
      </w:r>
      <w:r w:rsidRPr="00E867FE">
        <w:rPr>
          <w:sz w:val="24"/>
          <w:szCs w:val="24"/>
        </w:rPr>
        <w:t>№</w:t>
      </w:r>
      <w:r w:rsidR="00E867FE" w:rsidRPr="00E867FE">
        <w:rPr>
          <w:sz w:val="24"/>
          <w:szCs w:val="24"/>
        </w:rPr>
        <w:t>3026</w:t>
      </w:r>
      <w:r w:rsidRPr="00E867FE">
        <w:rPr>
          <w:sz w:val="24"/>
          <w:szCs w:val="24"/>
        </w:rPr>
        <w:t xml:space="preserve"> от 31.07.2024,</w:t>
      </w:r>
      <w:r w:rsidRPr="00FC7097">
        <w:rPr>
          <w:sz w:val="24"/>
          <w:szCs w:val="24"/>
        </w:rPr>
        <w:t xml:space="preserve"> номер входящей почты №46 от 31.07.2024).</w:t>
      </w:r>
    </w:p>
    <w:p w14:paraId="471A1B6E" w14:textId="77777777" w:rsidR="00FC7097" w:rsidRPr="00FC7097" w:rsidRDefault="00FC7097" w:rsidP="00FC7097">
      <w:pPr>
        <w:ind w:firstLine="708"/>
        <w:jc w:val="both"/>
        <w:rPr>
          <w:rFonts w:eastAsia="Calibri"/>
          <w:b/>
          <w:bCs/>
          <w:sz w:val="24"/>
          <w:szCs w:val="24"/>
          <w:lang w:eastAsia="en-US"/>
        </w:rPr>
      </w:pPr>
    </w:p>
    <w:p w14:paraId="4F9B13DE" w14:textId="77777777" w:rsidR="00FC7097" w:rsidRPr="00FC7097" w:rsidRDefault="00FC7097" w:rsidP="00FC7097">
      <w:pPr>
        <w:spacing w:line="240" w:lineRule="exact"/>
        <w:ind w:firstLine="709"/>
        <w:jc w:val="center"/>
        <w:rPr>
          <w:rFonts w:eastAsia="Calibri"/>
          <w:sz w:val="24"/>
          <w:szCs w:val="24"/>
          <w:lang w:eastAsia="en-US"/>
        </w:rPr>
      </w:pPr>
      <w:r w:rsidRPr="00FC7097">
        <w:rPr>
          <w:rFonts w:eastAsia="Calibri"/>
          <w:sz w:val="24"/>
          <w:szCs w:val="24"/>
          <w:lang w:eastAsia="en-US"/>
        </w:rPr>
        <w:t xml:space="preserve">Основные показатели, характеризующие исполнение бюджета округа </w:t>
      </w:r>
    </w:p>
    <w:p w14:paraId="0B55FB60" w14:textId="77777777" w:rsidR="00FC7097" w:rsidRPr="00FC7097" w:rsidRDefault="00FC7097" w:rsidP="00FC7097">
      <w:pPr>
        <w:spacing w:line="240" w:lineRule="exact"/>
        <w:ind w:firstLine="709"/>
        <w:jc w:val="center"/>
        <w:rPr>
          <w:rFonts w:eastAsia="Calibri"/>
          <w:sz w:val="24"/>
          <w:szCs w:val="24"/>
          <w:lang w:eastAsia="en-US"/>
        </w:rPr>
      </w:pPr>
      <w:r w:rsidRPr="00FC7097">
        <w:rPr>
          <w:rFonts w:eastAsia="Calibri"/>
          <w:sz w:val="24"/>
          <w:szCs w:val="24"/>
          <w:lang w:eastAsia="en-US"/>
        </w:rPr>
        <w:t>за 1 полугодие 2024 года</w:t>
      </w:r>
    </w:p>
    <w:p w14:paraId="7C994F8A" w14:textId="77777777" w:rsidR="00FC7097" w:rsidRPr="00FC7097" w:rsidRDefault="00FC7097" w:rsidP="00FC7097">
      <w:pPr>
        <w:ind w:firstLine="709"/>
        <w:jc w:val="center"/>
        <w:rPr>
          <w:rFonts w:eastAsia="Calibri"/>
          <w:b/>
          <w:bCs/>
          <w:sz w:val="24"/>
          <w:szCs w:val="24"/>
          <w:lang w:eastAsia="en-US"/>
        </w:rPr>
      </w:pPr>
    </w:p>
    <w:p w14:paraId="208D4DC8" w14:textId="77777777" w:rsidR="00FC7097" w:rsidRPr="00FC7097" w:rsidRDefault="00FC7097" w:rsidP="00FC7097">
      <w:pPr>
        <w:ind w:firstLine="709"/>
        <w:jc w:val="both"/>
        <w:rPr>
          <w:sz w:val="24"/>
          <w:szCs w:val="24"/>
        </w:rPr>
      </w:pPr>
      <w:r w:rsidRPr="00FC7097">
        <w:rPr>
          <w:sz w:val="24"/>
          <w:szCs w:val="24"/>
        </w:rPr>
        <w:t>По данным Отчета по сравнению с аналогичным периодом 2023 года доходы исполнены на 66,0 процента ( или на 210449,6</w:t>
      </w:r>
      <w:r w:rsidRPr="00FC7097">
        <w:rPr>
          <w:rFonts w:eastAsia="Calibri"/>
          <w:sz w:val="24"/>
          <w:szCs w:val="24"/>
          <w:lang w:eastAsia="en-US"/>
        </w:rPr>
        <w:t xml:space="preserve"> тыс. рублей) </w:t>
      </w:r>
      <w:r w:rsidRPr="00FC7097">
        <w:rPr>
          <w:sz w:val="24"/>
          <w:szCs w:val="24"/>
        </w:rPr>
        <w:t>и составили 531 885,5 тыс. рублей или 33 процента от уточненных плановых назначений на 2024 год (для сравнения – за 1 полугодие 2023 года исполнение годовых плановых назначений составило 41,6 процента).</w:t>
      </w:r>
    </w:p>
    <w:p w14:paraId="67EDB3D1" w14:textId="77777777" w:rsidR="00FC7097" w:rsidRPr="00FC7097" w:rsidRDefault="00FC7097" w:rsidP="00FC7097">
      <w:pPr>
        <w:ind w:firstLine="709"/>
        <w:jc w:val="both"/>
        <w:rPr>
          <w:sz w:val="24"/>
          <w:szCs w:val="28"/>
        </w:rPr>
      </w:pPr>
      <w:r w:rsidRPr="00FC7097">
        <w:rPr>
          <w:sz w:val="24"/>
          <w:szCs w:val="28"/>
        </w:rPr>
        <w:t xml:space="preserve">Расходы бюджета округа за 1 полугодие 2024 года по отношению к 1 полугодию 2023 года увеличились на 214 737,2 тыс. рублей (на 74,0 процента) и составили 507 733,1 тыс. рублей или 31 процент годовых плановых назначений (для сравнения – за 1 полугодие 2023 года исполнение составило 37,9 процента). </w:t>
      </w:r>
    </w:p>
    <w:p w14:paraId="251841AD" w14:textId="77777777" w:rsidR="00FC7097" w:rsidRPr="00FC7097" w:rsidRDefault="00FC7097" w:rsidP="00FC7097">
      <w:pPr>
        <w:ind w:firstLine="709"/>
        <w:jc w:val="both"/>
        <w:rPr>
          <w:sz w:val="24"/>
          <w:szCs w:val="28"/>
        </w:rPr>
      </w:pPr>
      <w:r w:rsidRPr="00FC7097">
        <w:rPr>
          <w:sz w:val="24"/>
          <w:szCs w:val="28"/>
        </w:rPr>
        <w:t xml:space="preserve">В результате за 1 полугодие 2024 года бюджет исполнен с профицитом в сумме 24 152,4 тыс. рублей, при запланированном дефиците бюджета округа на 2024 год 4275,1 тыс. рублей. </w:t>
      </w:r>
    </w:p>
    <w:p w14:paraId="06C0E6D8" w14:textId="77777777" w:rsidR="00FC7097" w:rsidRPr="00FC7097" w:rsidRDefault="00FC7097" w:rsidP="00FC7097">
      <w:pPr>
        <w:tabs>
          <w:tab w:val="left" w:pos="142"/>
        </w:tabs>
        <w:ind w:right="-2" w:firstLine="709"/>
        <w:jc w:val="both"/>
        <w:rPr>
          <w:rFonts w:eastAsia="Calibri"/>
          <w:sz w:val="24"/>
          <w:szCs w:val="24"/>
          <w:lang w:eastAsia="en-US"/>
        </w:rPr>
      </w:pPr>
      <w:bookmarkStart w:id="1" w:name="_Hlk84581628"/>
      <w:r w:rsidRPr="00FC7097">
        <w:rPr>
          <w:rFonts w:eastAsia="Calibri"/>
          <w:sz w:val="24"/>
          <w:szCs w:val="24"/>
          <w:lang w:eastAsia="en-US"/>
        </w:rPr>
        <w:t xml:space="preserve">План по доходам в отчетном периоде в целом не выполнен на 17,0 процентов (не поступило платежей в сумме 272 283,25 тыс. рублей), по безвозмездным поступлениям – на 19 </w:t>
      </w:r>
      <w:bookmarkStart w:id="2" w:name="_Hlk84581779"/>
      <w:r w:rsidRPr="00FC7097">
        <w:rPr>
          <w:rFonts w:eastAsia="Calibri"/>
          <w:sz w:val="24"/>
          <w:szCs w:val="24"/>
          <w:lang w:eastAsia="en-US"/>
        </w:rPr>
        <w:t>процентов, план по налоговым и неналоговым доходам не выполнен на 3 процента.</w:t>
      </w:r>
      <w:bookmarkEnd w:id="1"/>
      <w:bookmarkEnd w:id="2"/>
      <w:r w:rsidRPr="00FC7097">
        <w:rPr>
          <w:rFonts w:eastAsia="Calibri"/>
          <w:sz w:val="24"/>
          <w:szCs w:val="24"/>
          <w:lang w:eastAsia="en-US"/>
        </w:rPr>
        <w:t xml:space="preserve"> Из 12 доходных источников план выполнен</w:t>
      </w:r>
      <w:r w:rsidRPr="00FC7097">
        <w:rPr>
          <w:rFonts w:eastAsia="Calibri"/>
          <w:b/>
          <w:bCs/>
          <w:sz w:val="24"/>
          <w:szCs w:val="24"/>
          <w:lang w:eastAsia="en-US"/>
        </w:rPr>
        <w:t xml:space="preserve"> </w:t>
      </w:r>
      <w:r w:rsidRPr="00FC7097">
        <w:rPr>
          <w:rFonts w:eastAsia="Calibri"/>
          <w:sz w:val="24"/>
          <w:szCs w:val="24"/>
          <w:lang w:eastAsia="en-US"/>
        </w:rPr>
        <w:t>по 4. По 8 доходным источникам план не выполнен.</w:t>
      </w:r>
    </w:p>
    <w:p w14:paraId="31649C20" w14:textId="77777777" w:rsidR="00FC7097" w:rsidRPr="00FC7097" w:rsidRDefault="00FC7097" w:rsidP="00FC7097">
      <w:pPr>
        <w:ind w:right="-2" w:firstLine="709"/>
        <w:jc w:val="both"/>
        <w:rPr>
          <w:rFonts w:eastAsia="Calibri"/>
          <w:sz w:val="24"/>
          <w:szCs w:val="24"/>
          <w:lang w:eastAsia="en-US"/>
        </w:rPr>
      </w:pPr>
      <w:r w:rsidRPr="00FC7097">
        <w:rPr>
          <w:rFonts w:eastAsia="Calibri"/>
          <w:sz w:val="24"/>
          <w:szCs w:val="24"/>
          <w:lang w:eastAsia="en-US"/>
        </w:rPr>
        <w:t>По сравнению с уровнем соответствующего периода 2023 года наблюдается увеличение поступлений налоговых доходов на 11,0 процентов, неналоговых доходов – на 96 процента.</w:t>
      </w:r>
      <w:r w:rsidRPr="00FC7097">
        <w:rPr>
          <w:rFonts w:eastAsia="Calibri"/>
          <w:b/>
          <w:bCs/>
          <w:sz w:val="24"/>
          <w:szCs w:val="24"/>
          <w:lang w:eastAsia="en-US"/>
        </w:rPr>
        <w:t xml:space="preserve"> </w:t>
      </w:r>
      <w:r w:rsidRPr="00FC7097">
        <w:rPr>
          <w:rFonts w:eastAsia="Calibri"/>
          <w:sz w:val="24"/>
          <w:szCs w:val="24"/>
          <w:lang w:eastAsia="en-US"/>
        </w:rPr>
        <w:t>В абсолютном выражении увеличение налоговых и неналоговых доходов составило 12983,7 тыс. рублей.</w:t>
      </w:r>
    </w:p>
    <w:p w14:paraId="404D5F47" w14:textId="77777777" w:rsidR="00FC7097" w:rsidRPr="00FC7097" w:rsidRDefault="00FC7097" w:rsidP="00FC7097">
      <w:pPr>
        <w:ind w:right="-2" w:firstLine="709"/>
        <w:jc w:val="both"/>
        <w:rPr>
          <w:rFonts w:eastAsia="Calibri"/>
          <w:sz w:val="24"/>
          <w:szCs w:val="24"/>
          <w:lang w:eastAsia="en-US"/>
        </w:rPr>
      </w:pPr>
      <w:bookmarkStart w:id="3" w:name="_Hlk87105726"/>
      <w:r w:rsidRPr="00FC7097">
        <w:rPr>
          <w:rFonts w:eastAsia="Calibri"/>
          <w:sz w:val="24"/>
          <w:szCs w:val="24"/>
          <w:lang w:eastAsia="en-US"/>
        </w:rPr>
        <w:t>Бюджет округа в составе безвозмездных поступлений получает ассигнования на выполнение отдельных государственных полномочий, передаваемых органом местного самоуправления на реализацию федеральных законов и законов Вологодской области, на софинансирование расходов муниципального образования, иные межбюджетные трансферты, а также прочие безвозмездные поступления.</w:t>
      </w:r>
    </w:p>
    <w:p w14:paraId="734D0187" w14:textId="77777777" w:rsidR="00FC7097" w:rsidRPr="00FC7097" w:rsidRDefault="00FC7097" w:rsidP="00FC7097">
      <w:pPr>
        <w:ind w:firstLine="567"/>
        <w:jc w:val="both"/>
        <w:rPr>
          <w:rFonts w:eastAsia="Calibri"/>
          <w:sz w:val="24"/>
          <w:szCs w:val="24"/>
          <w:lang w:eastAsia="en-US"/>
        </w:rPr>
      </w:pPr>
      <w:r w:rsidRPr="00FC7097">
        <w:rPr>
          <w:rFonts w:eastAsia="Calibri"/>
          <w:sz w:val="24"/>
          <w:szCs w:val="24"/>
          <w:lang w:eastAsia="en-US"/>
        </w:rPr>
        <w:t xml:space="preserve"> </w:t>
      </w:r>
      <w:r w:rsidRPr="00FC7097">
        <w:rPr>
          <w:rFonts w:eastAsia="Calibri"/>
          <w:bCs/>
          <w:sz w:val="24"/>
          <w:szCs w:val="24"/>
          <w:lang w:eastAsia="en-US"/>
        </w:rPr>
        <w:t>Безвозмездные поступления</w:t>
      </w:r>
      <w:r w:rsidRPr="00FC7097">
        <w:rPr>
          <w:rFonts w:eastAsia="Calibri"/>
          <w:sz w:val="24"/>
          <w:szCs w:val="24"/>
          <w:lang w:eastAsia="en-US"/>
        </w:rPr>
        <w:t xml:space="preserve"> от других уровней бюджетов при утверждении бюджета запланированы в объеме 1 396 933,5 тыс. рублей, поступление составило 433 711,9 тыс. рублей или 31,0 процента к годовым плановым назначениям. Субсидии бюджетам бюджетной системы РФ поступают по мере исполнения муниципальных контрактов.</w:t>
      </w:r>
    </w:p>
    <w:bookmarkEnd w:id="3"/>
    <w:p w14:paraId="6C4096F8" w14:textId="77777777" w:rsidR="00FC7097" w:rsidRPr="00FC7097" w:rsidRDefault="00FC7097" w:rsidP="00FC7097">
      <w:pPr>
        <w:autoSpaceDE w:val="0"/>
        <w:autoSpaceDN w:val="0"/>
        <w:adjustRightInd w:val="0"/>
        <w:ind w:firstLine="709"/>
        <w:jc w:val="both"/>
        <w:rPr>
          <w:sz w:val="24"/>
          <w:szCs w:val="24"/>
        </w:rPr>
      </w:pPr>
      <w:r w:rsidRPr="00FC7097">
        <w:rPr>
          <w:sz w:val="24"/>
          <w:szCs w:val="24"/>
        </w:rPr>
        <w:t>По сравнению с исполнением 1 полугодием 2023 года безвозмездные поступления увеличились на 197 465,9 тыс. рублей или на 84%, их доля в общих доходах бюджета округа составила 81%.</w:t>
      </w:r>
    </w:p>
    <w:p w14:paraId="4572F7B7" w14:textId="77777777" w:rsidR="00FC7097" w:rsidRPr="00FC7097" w:rsidRDefault="00FC7097" w:rsidP="00FC7097">
      <w:pPr>
        <w:numPr>
          <w:ilvl w:val="12"/>
          <w:numId w:val="0"/>
        </w:numPr>
        <w:ind w:firstLine="709"/>
        <w:jc w:val="both"/>
        <w:rPr>
          <w:sz w:val="24"/>
          <w:szCs w:val="24"/>
        </w:rPr>
      </w:pPr>
      <w:r w:rsidRPr="00FC7097">
        <w:rPr>
          <w:sz w:val="24"/>
          <w:szCs w:val="24"/>
        </w:rPr>
        <w:t xml:space="preserve">В общем объеме безвозмездных поступлений за 1 полугодие 2024 года наибольший удельный вес занимают субсидии бюджетам бюджетной системы РФ 53,0%, на субвенции бюджетам бюджетной системы РФ приходится 28,0%, доля дотаций составляет 21,0%, возврат остатков субсидий -2,0%. </w:t>
      </w:r>
    </w:p>
    <w:p w14:paraId="6695EECF" w14:textId="77777777" w:rsidR="00FC7097" w:rsidRPr="00FC7097" w:rsidRDefault="00FC7097" w:rsidP="00FC7097">
      <w:pPr>
        <w:ind w:firstLine="709"/>
        <w:jc w:val="both"/>
        <w:rPr>
          <w:iCs/>
          <w:sz w:val="24"/>
          <w:szCs w:val="24"/>
        </w:rPr>
      </w:pPr>
      <w:r w:rsidRPr="00FC7097">
        <w:rPr>
          <w:iCs/>
          <w:sz w:val="24"/>
          <w:szCs w:val="24"/>
        </w:rPr>
        <w:lastRenderedPageBreak/>
        <w:t>В ходе проведенного анализа исполнения бюджета округа по доходам установлено, что исполнение доходной части бюджета округа за 1 полугодие 2024 года обеспечено на 81% безвозмездными поступлениями и на 19 % собственными доходами.</w:t>
      </w:r>
    </w:p>
    <w:p w14:paraId="20F77868" w14:textId="77777777" w:rsidR="00FC7097" w:rsidRPr="00FC7097" w:rsidRDefault="00FC7097" w:rsidP="00FC7097">
      <w:pPr>
        <w:ind w:firstLine="709"/>
        <w:jc w:val="both"/>
        <w:rPr>
          <w:iCs/>
          <w:sz w:val="24"/>
          <w:szCs w:val="24"/>
        </w:rPr>
      </w:pPr>
      <w:bookmarkStart w:id="4" w:name="_Hlk172803906"/>
      <w:r w:rsidRPr="00FC7097">
        <w:rPr>
          <w:iCs/>
          <w:sz w:val="24"/>
          <w:szCs w:val="24"/>
        </w:rPr>
        <w:t xml:space="preserve">По сравнению с аналогичным периодом 2023 года поступления в доходную часть бюджета в отчетном периоде текущего года увеличено на 66%. Увеличение составило 210 449,6 тыс. рублей, в основном за счет увеличения объема безвозмездных поступлений. </w:t>
      </w:r>
    </w:p>
    <w:bookmarkEnd w:id="4"/>
    <w:p w14:paraId="50D2F543" w14:textId="77777777" w:rsidR="00FC7097" w:rsidRPr="00FC7097" w:rsidRDefault="00FC7097" w:rsidP="00FC7097">
      <w:pPr>
        <w:ind w:firstLine="709"/>
        <w:jc w:val="both"/>
        <w:rPr>
          <w:b/>
          <w:bCs/>
          <w:sz w:val="24"/>
          <w:szCs w:val="24"/>
        </w:rPr>
      </w:pPr>
    </w:p>
    <w:p w14:paraId="4817F01E" w14:textId="77777777" w:rsidR="00FC7097" w:rsidRPr="00FC7097" w:rsidRDefault="00FC7097" w:rsidP="00FC7097">
      <w:pPr>
        <w:ind w:firstLine="567"/>
        <w:jc w:val="center"/>
        <w:rPr>
          <w:sz w:val="24"/>
          <w:szCs w:val="24"/>
        </w:rPr>
      </w:pPr>
      <w:r w:rsidRPr="00FC7097">
        <w:rPr>
          <w:sz w:val="24"/>
          <w:szCs w:val="24"/>
        </w:rPr>
        <w:t>Расходы бюджета округа</w:t>
      </w:r>
    </w:p>
    <w:p w14:paraId="59639480" w14:textId="77777777" w:rsidR="00FC7097" w:rsidRPr="00FC7097" w:rsidRDefault="00FC7097" w:rsidP="00FC7097">
      <w:pPr>
        <w:ind w:firstLine="567"/>
        <w:jc w:val="center"/>
        <w:rPr>
          <w:b/>
          <w:bCs/>
          <w:sz w:val="24"/>
          <w:szCs w:val="24"/>
          <w:highlight w:val="lightGray"/>
        </w:rPr>
      </w:pPr>
    </w:p>
    <w:p w14:paraId="5C44D807" w14:textId="77777777" w:rsidR="00FC7097" w:rsidRPr="00FC7097" w:rsidRDefault="00FC7097" w:rsidP="00FC7097">
      <w:pPr>
        <w:ind w:right="-1" w:firstLine="709"/>
        <w:jc w:val="both"/>
        <w:rPr>
          <w:sz w:val="24"/>
          <w:szCs w:val="24"/>
        </w:rPr>
      </w:pPr>
      <w:r w:rsidRPr="00FC7097">
        <w:rPr>
          <w:sz w:val="24"/>
          <w:szCs w:val="24"/>
        </w:rPr>
        <w:t>За 1 полугодие 2024 года фактически произведено расходов за счет средств бюджета округа на общую сумму 507 733,1 тыс. рублей при годовом плане 1 636 726,3 тыс. рублей, что составило 33 процента к плану по расходам (за 1 полугодие 2023 года – 37,9 процента).</w:t>
      </w:r>
      <w:r w:rsidRPr="00FC7097">
        <w:rPr>
          <w:b/>
          <w:bCs/>
          <w:sz w:val="24"/>
          <w:szCs w:val="24"/>
        </w:rPr>
        <w:t xml:space="preserve"> </w:t>
      </w:r>
      <w:r w:rsidRPr="00FC7097">
        <w:rPr>
          <w:sz w:val="24"/>
          <w:szCs w:val="24"/>
        </w:rPr>
        <w:t>По сравнению с аналогичным периодом 2023 года расходы бюджета в целом увеличились на 214 737,2 тыс. рублей (на 74 процента).</w:t>
      </w:r>
    </w:p>
    <w:p w14:paraId="78A47665" w14:textId="77777777" w:rsidR="00FC7097" w:rsidRPr="00FC7097" w:rsidRDefault="00FC7097" w:rsidP="00FC7097">
      <w:pPr>
        <w:autoSpaceDE w:val="0"/>
        <w:autoSpaceDN w:val="0"/>
        <w:adjustRightInd w:val="0"/>
        <w:ind w:firstLine="539"/>
        <w:jc w:val="center"/>
        <w:rPr>
          <w:rFonts w:eastAsia="Calibri"/>
          <w:color w:val="000000"/>
          <w:sz w:val="24"/>
          <w:szCs w:val="24"/>
          <w:lang w:eastAsia="en-US"/>
        </w:rPr>
      </w:pPr>
      <w:r w:rsidRPr="00FC7097">
        <w:rPr>
          <w:rFonts w:eastAsia="Calibri"/>
          <w:color w:val="000000"/>
          <w:sz w:val="24"/>
          <w:szCs w:val="24"/>
          <w:lang w:eastAsia="en-US"/>
        </w:rPr>
        <w:t xml:space="preserve">Информация по кредиторской и дебиторской задолженности </w:t>
      </w:r>
    </w:p>
    <w:p w14:paraId="585F0577" w14:textId="77777777" w:rsidR="00FC7097" w:rsidRPr="00FC7097" w:rsidRDefault="00FC7097" w:rsidP="00FC7097">
      <w:pPr>
        <w:autoSpaceDE w:val="0"/>
        <w:autoSpaceDN w:val="0"/>
        <w:adjustRightInd w:val="0"/>
        <w:ind w:firstLine="539"/>
        <w:jc w:val="center"/>
        <w:rPr>
          <w:rFonts w:eastAsia="Calibri"/>
          <w:color w:val="000000"/>
          <w:sz w:val="24"/>
          <w:szCs w:val="24"/>
          <w:lang w:eastAsia="en-US"/>
        </w:rPr>
      </w:pPr>
      <w:r w:rsidRPr="00FC7097">
        <w:rPr>
          <w:rFonts w:eastAsia="Calibri"/>
          <w:color w:val="000000"/>
          <w:sz w:val="24"/>
          <w:szCs w:val="24"/>
          <w:lang w:eastAsia="en-US"/>
        </w:rPr>
        <w:t>за 1 полугодие 2024 года</w:t>
      </w:r>
    </w:p>
    <w:p w14:paraId="50617AF9" w14:textId="77777777" w:rsidR="00FC7097" w:rsidRPr="00FC7097" w:rsidRDefault="00FC7097" w:rsidP="00FC7097">
      <w:pPr>
        <w:autoSpaceDE w:val="0"/>
        <w:autoSpaceDN w:val="0"/>
        <w:adjustRightInd w:val="0"/>
        <w:ind w:firstLine="539"/>
        <w:jc w:val="center"/>
        <w:rPr>
          <w:rFonts w:eastAsia="Calibri"/>
          <w:color w:val="000000"/>
          <w:sz w:val="24"/>
          <w:szCs w:val="24"/>
          <w:lang w:eastAsia="en-US"/>
        </w:rPr>
      </w:pPr>
    </w:p>
    <w:p w14:paraId="46B78D01" w14:textId="77777777" w:rsidR="00FC7097" w:rsidRPr="00FC7097" w:rsidRDefault="00FC7097" w:rsidP="00FC7097">
      <w:pPr>
        <w:ind w:firstLine="709"/>
        <w:jc w:val="both"/>
        <w:rPr>
          <w:rFonts w:eastAsia="Calibri"/>
          <w:sz w:val="24"/>
          <w:szCs w:val="24"/>
          <w:lang w:eastAsia="en-US"/>
        </w:rPr>
      </w:pPr>
      <w:r w:rsidRPr="00FC7097">
        <w:rPr>
          <w:rFonts w:eastAsia="Calibri"/>
          <w:sz w:val="24"/>
          <w:szCs w:val="24"/>
          <w:lang w:eastAsia="en-US"/>
        </w:rPr>
        <w:t xml:space="preserve">Дебиторская задолженность на 01.01.2024 года составляла 2 195 719,7 тыс. рублей, по сравнению с данными на 01.01.2023 года задолженность увеличилась на 484 841,4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w:t>
      </w:r>
    </w:p>
    <w:p w14:paraId="0AA94472" w14:textId="77777777" w:rsidR="00FC7097" w:rsidRPr="00FC7097" w:rsidRDefault="00FC7097" w:rsidP="00FC7097">
      <w:pPr>
        <w:ind w:firstLine="709"/>
        <w:jc w:val="both"/>
        <w:rPr>
          <w:rFonts w:eastAsia="Calibri"/>
          <w:sz w:val="24"/>
          <w:szCs w:val="24"/>
          <w:lang w:eastAsia="en-US"/>
        </w:rPr>
      </w:pPr>
      <w:r w:rsidRPr="00FC7097">
        <w:rPr>
          <w:rFonts w:eastAsia="Calibri"/>
          <w:sz w:val="24"/>
          <w:szCs w:val="24"/>
          <w:lang w:eastAsia="en-US"/>
        </w:rPr>
        <w:t xml:space="preserve">По состоянию на 01.07.2024 г. дебиторская задолженность составляет 2 202 946,3 тыс. рублей и увеличилась на 0,4 процента или на 7 226,6 по сравнению с началом года, а в сравнении с аналогичным отчетным периодом 2023 года на 29,4 процента или 500 542,8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w:t>
      </w:r>
    </w:p>
    <w:p w14:paraId="6D3E1FA6" w14:textId="16B7ACFC" w:rsidR="00FC7097" w:rsidRPr="00FC7097" w:rsidRDefault="00FC7097" w:rsidP="00FC7097">
      <w:pPr>
        <w:tabs>
          <w:tab w:val="num" w:pos="720"/>
        </w:tabs>
        <w:ind w:firstLine="709"/>
        <w:jc w:val="both"/>
        <w:rPr>
          <w:rFonts w:eastAsia="Calibri"/>
          <w:sz w:val="24"/>
          <w:szCs w:val="24"/>
          <w:lang w:eastAsia="en-US"/>
        </w:rPr>
      </w:pPr>
      <w:r w:rsidRPr="00FC7097">
        <w:rPr>
          <w:rFonts w:eastAsia="Calibri"/>
          <w:sz w:val="24"/>
          <w:szCs w:val="24"/>
          <w:lang w:eastAsia="en-US"/>
        </w:rPr>
        <w:t xml:space="preserve">По состоянию на 1 января 2024 года кредиторская задолженность составляла 18 708,1 тыс. рублей, по сравнению с предыдущим периодом на 01.01.2023 года задолженность увеличилась на 39,2 процента или на 5261,4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Общий объем кредиторской задолженности на 01.07.2024 года составил 52 403,1 тыс. рублей, в том числе просроченная 0,0 тыс. рублей, по сравнению с отчетным периодом прошлого года на 01.07.2023 года задолженность увеличилась на 39 377,7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а также за период с начала текущего года кредиторская задолженность увеличилась на 33 695,0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В пояснительной записке к отчету об исполнении бюджета отсутствуют причины роста кредиторской задолженности.</w:t>
      </w:r>
    </w:p>
    <w:p w14:paraId="62469D49" w14:textId="77777777" w:rsidR="00FC7097" w:rsidRPr="00FC7097" w:rsidRDefault="00FC7097" w:rsidP="00FC7097">
      <w:pPr>
        <w:ind w:firstLine="709"/>
        <w:jc w:val="both"/>
        <w:rPr>
          <w:rFonts w:eastAsia="Calibri"/>
          <w:sz w:val="24"/>
          <w:szCs w:val="24"/>
          <w:lang w:eastAsia="en-US"/>
        </w:rPr>
      </w:pPr>
      <w:r w:rsidRPr="00FC7097">
        <w:rPr>
          <w:sz w:val="24"/>
          <w:szCs w:val="24"/>
        </w:rPr>
        <w:t xml:space="preserve">Кредиторская и дебиторская задолженность </w:t>
      </w:r>
      <w:r w:rsidRPr="00FC7097">
        <w:rPr>
          <w:rFonts w:eastAsia="Calibri"/>
          <w:sz w:val="24"/>
          <w:szCs w:val="24"/>
          <w:lang w:eastAsia="en-US"/>
        </w:rPr>
        <w:t>представлена в связи с периодичностью представления сведений - по состоянию на 1 июля, 1 октября, 1 января года, следующего за отчетным (пункт 167 Приказа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14:paraId="4A0CDD53" w14:textId="77777777" w:rsidR="00FC7097" w:rsidRPr="00FC7097" w:rsidRDefault="00FC7097" w:rsidP="00FC7097">
      <w:pPr>
        <w:ind w:firstLine="709"/>
        <w:jc w:val="both"/>
        <w:rPr>
          <w:sz w:val="24"/>
          <w:szCs w:val="24"/>
        </w:rPr>
      </w:pPr>
    </w:p>
    <w:p w14:paraId="6A9390E4" w14:textId="77777777" w:rsidR="00FC7097" w:rsidRPr="00FC7097" w:rsidRDefault="00FC7097" w:rsidP="00FC7097">
      <w:pPr>
        <w:ind w:right="-1" w:firstLine="709"/>
        <w:jc w:val="center"/>
        <w:rPr>
          <w:rFonts w:eastAsia="Calibri"/>
          <w:sz w:val="24"/>
          <w:szCs w:val="24"/>
          <w:lang w:eastAsia="en-US"/>
        </w:rPr>
      </w:pPr>
      <w:r w:rsidRPr="00FC7097">
        <w:rPr>
          <w:rFonts w:eastAsia="Calibri"/>
          <w:sz w:val="24"/>
          <w:szCs w:val="24"/>
          <w:lang w:eastAsia="en-US"/>
        </w:rPr>
        <w:t>Анализ реализации муниципальных программ</w:t>
      </w:r>
    </w:p>
    <w:p w14:paraId="3A2A6F91" w14:textId="77777777" w:rsidR="00FC7097" w:rsidRPr="00FC7097" w:rsidRDefault="00FC7097" w:rsidP="00FC7097">
      <w:pPr>
        <w:ind w:right="-1" w:firstLine="709"/>
        <w:jc w:val="center"/>
        <w:rPr>
          <w:rFonts w:eastAsia="Calibri"/>
          <w:b/>
          <w:bCs/>
          <w:sz w:val="24"/>
          <w:szCs w:val="24"/>
          <w:highlight w:val="lightGray"/>
          <w:lang w:eastAsia="en-US"/>
        </w:rPr>
      </w:pPr>
    </w:p>
    <w:p w14:paraId="0906E75E" w14:textId="77777777" w:rsidR="00FC7097" w:rsidRPr="00FC7097" w:rsidRDefault="00FC7097" w:rsidP="00FC7097">
      <w:pPr>
        <w:autoSpaceDE w:val="0"/>
        <w:autoSpaceDN w:val="0"/>
        <w:adjustRightInd w:val="0"/>
        <w:spacing w:line="228" w:lineRule="auto"/>
        <w:ind w:firstLine="708"/>
        <w:jc w:val="both"/>
        <w:rPr>
          <w:sz w:val="24"/>
          <w:szCs w:val="24"/>
        </w:rPr>
      </w:pPr>
      <w:r w:rsidRPr="00FC7097">
        <w:rPr>
          <w:sz w:val="24"/>
          <w:szCs w:val="24"/>
        </w:rPr>
        <w:t>В соответствии с требованиями бюджетного законодательства расходная часть бюджета на 2024 год сформирована посредством реализации программного подхода к управлению бюджетными расходами на основе муниципальных программ, реализуемых на территории Нюксенского муниципального округа Вологодской области.</w:t>
      </w:r>
    </w:p>
    <w:p w14:paraId="68E6C4E2" w14:textId="77777777" w:rsidR="00FC7097" w:rsidRPr="00FC7097" w:rsidRDefault="00FC7097" w:rsidP="00FC7097">
      <w:pPr>
        <w:autoSpaceDE w:val="0"/>
        <w:autoSpaceDN w:val="0"/>
        <w:adjustRightInd w:val="0"/>
        <w:spacing w:line="228" w:lineRule="auto"/>
        <w:ind w:firstLine="708"/>
        <w:jc w:val="both"/>
        <w:rPr>
          <w:iCs/>
          <w:sz w:val="24"/>
          <w:szCs w:val="24"/>
        </w:rPr>
      </w:pPr>
      <w:r w:rsidRPr="00FC7097">
        <w:rPr>
          <w:iCs/>
          <w:sz w:val="24"/>
          <w:szCs w:val="24"/>
        </w:rPr>
        <w:t>Внедрение программного подхода обеспечивает прозрачное отражение расходов бюджета, следовательно, повышается уровень оценки эффективности использования бюджетных средств.</w:t>
      </w:r>
    </w:p>
    <w:p w14:paraId="5337FDB8" w14:textId="77777777" w:rsidR="00FC7097" w:rsidRPr="00FC7097" w:rsidRDefault="00FC7097" w:rsidP="00FC7097">
      <w:pPr>
        <w:autoSpaceDE w:val="0"/>
        <w:autoSpaceDN w:val="0"/>
        <w:adjustRightInd w:val="0"/>
        <w:spacing w:line="228" w:lineRule="auto"/>
        <w:ind w:firstLine="708"/>
        <w:jc w:val="both"/>
        <w:rPr>
          <w:sz w:val="24"/>
          <w:szCs w:val="24"/>
        </w:rPr>
      </w:pPr>
      <w:r w:rsidRPr="00FC7097">
        <w:rPr>
          <w:rFonts w:eastAsia="Calibri"/>
          <w:sz w:val="24"/>
          <w:szCs w:val="24"/>
          <w:lang w:eastAsia="en-US"/>
        </w:rPr>
        <w:t>Общий объем расходов на финансирование 20 муниципальных программ за 1 полугодие 2024 года произведен на сумму 506 279,8 тыс. рублей, что составляет 31,0 процент от годовых назначений (1 632 756,7 тыс. рублей).</w:t>
      </w:r>
      <w:r w:rsidRPr="00FC7097">
        <w:rPr>
          <w:sz w:val="24"/>
          <w:szCs w:val="24"/>
        </w:rPr>
        <w:t xml:space="preserve"> Доля муниципальных программ в общем объеме расходов бюджета за 1 полугодие 2024 года составляет 99,8%.</w:t>
      </w:r>
    </w:p>
    <w:p w14:paraId="260D5935" w14:textId="77777777" w:rsidR="00FC7097" w:rsidRPr="00FC7097" w:rsidRDefault="00FC7097" w:rsidP="00FC7097">
      <w:pPr>
        <w:ind w:firstLine="540"/>
        <w:jc w:val="both"/>
        <w:rPr>
          <w:sz w:val="24"/>
          <w:szCs w:val="24"/>
        </w:rPr>
      </w:pPr>
      <w:r w:rsidRPr="00FC7097">
        <w:rPr>
          <w:sz w:val="24"/>
          <w:szCs w:val="24"/>
        </w:rPr>
        <w:lastRenderedPageBreak/>
        <w:t xml:space="preserve">Результативность бюджетных расходов округа определяется как соотношение между результатами деятельности округа и расходами на их достижение, а также степенью достижения планируемых результатов деятельности округа. </w:t>
      </w:r>
    </w:p>
    <w:p w14:paraId="6924062A" w14:textId="77777777" w:rsidR="00FC7097" w:rsidRPr="00FC7097" w:rsidRDefault="00FC7097" w:rsidP="00FC7097">
      <w:pPr>
        <w:ind w:firstLine="540"/>
        <w:jc w:val="both"/>
        <w:rPr>
          <w:sz w:val="24"/>
          <w:szCs w:val="24"/>
        </w:rPr>
      </w:pPr>
      <w:r w:rsidRPr="00FC7097">
        <w:rPr>
          <w:sz w:val="24"/>
          <w:szCs w:val="24"/>
        </w:rPr>
        <w:t>На данном этапе исполнения бюджета округа за 1 полугодие 2024 года результативность расходов округа в рамках исполнения муниципальных программ можно оценить как неудовлетворительную, так как процент исполнения менее 50 процентов (факт 31 процент).</w:t>
      </w:r>
    </w:p>
    <w:p w14:paraId="260D7724" w14:textId="77777777" w:rsidR="00FC7097" w:rsidRPr="00FC7097" w:rsidRDefault="00FC7097" w:rsidP="00FC7097">
      <w:pPr>
        <w:ind w:firstLine="540"/>
        <w:jc w:val="both"/>
        <w:rPr>
          <w:sz w:val="24"/>
          <w:szCs w:val="24"/>
        </w:rPr>
      </w:pPr>
      <w:r w:rsidRPr="00FC7097">
        <w:rPr>
          <w:sz w:val="24"/>
          <w:szCs w:val="24"/>
        </w:rPr>
        <w:t>Кассовое исполнение расходных бюджетных обязательств выше среднего процента исполнения обеспечено по 5 программа,</w:t>
      </w:r>
      <w:r w:rsidRPr="00FC7097">
        <w:rPr>
          <w:b/>
          <w:bCs/>
          <w:sz w:val="24"/>
          <w:szCs w:val="24"/>
        </w:rPr>
        <w:t xml:space="preserve"> </w:t>
      </w:r>
      <w:r w:rsidRPr="00FC7097">
        <w:rPr>
          <w:sz w:val="24"/>
          <w:szCs w:val="24"/>
        </w:rPr>
        <w:t>из них:</w:t>
      </w:r>
      <w:r w:rsidRPr="00FC7097">
        <w:rPr>
          <w:b/>
          <w:bCs/>
          <w:sz w:val="24"/>
          <w:szCs w:val="24"/>
        </w:rPr>
        <w:t xml:space="preserve"> </w:t>
      </w:r>
    </w:p>
    <w:p w14:paraId="6DA0598C" w14:textId="77777777" w:rsidR="00FC7097" w:rsidRPr="00FC7097" w:rsidRDefault="00FC7097" w:rsidP="00FC7097">
      <w:pPr>
        <w:ind w:firstLine="709"/>
        <w:jc w:val="both"/>
        <w:rPr>
          <w:sz w:val="24"/>
          <w:szCs w:val="24"/>
        </w:rPr>
      </w:pPr>
      <w:r w:rsidRPr="00FC7097">
        <w:rPr>
          <w:sz w:val="24"/>
          <w:szCs w:val="24"/>
        </w:rPr>
        <w:t>«Социальная поддержка граждан и социально-ориентированных некоммерческих организаций Нюксенского муниципального округа» исполнена на 53,4 процентов;</w:t>
      </w:r>
    </w:p>
    <w:p w14:paraId="3B9835EA" w14:textId="77777777" w:rsidR="00FC7097" w:rsidRPr="00FC7097" w:rsidRDefault="00FC7097" w:rsidP="00FC7097">
      <w:pPr>
        <w:ind w:firstLine="709"/>
        <w:jc w:val="both"/>
        <w:rPr>
          <w:sz w:val="24"/>
          <w:szCs w:val="24"/>
        </w:rPr>
      </w:pPr>
      <w:r w:rsidRPr="00FC7097">
        <w:rPr>
          <w:sz w:val="24"/>
          <w:szCs w:val="24"/>
        </w:rPr>
        <w:t>«Формирование законопослушного поведения участников дорожного движения на территории Нюксенского муниципального округа на 2019-2030 годы» исполнена на 52,3 процента;</w:t>
      </w:r>
    </w:p>
    <w:p w14:paraId="595914C5" w14:textId="77777777" w:rsidR="00FC7097" w:rsidRPr="00FC7097" w:rsidRDefault="00FC7097" w:rsidP="00FC7097">
      <w:pPr>
        <w:ind w:firstLine="709"/>
        <w:jc w:val="both"/>
        <w:rPr>
          <w:sz w:val="24"/>
          <w:szCs w:val="24"/>
        </w:rPr>
      </w:pPr>
      <w:r w:rsidRPr="00FC7097">
        <w:rPr>
          <w:sz w:val="24"/>
          <w:szCs w:val="24"/>
        </w:rPr>
        <w:t>«Дорожная сеть и транспортное обслуживание» исполнена на 68,5 процента;</w:t>
      </w:r>
    </w:p>
    <w:p w14:paraId="497E9D56" w14:textId="77777777" w:rsidR="00FC7097" w:rsidRPr="00FC7097" w:rsidRDefault="00FC7097" w:rsidP="00FC7097">
      <w:pPr>
        <w:ind w:firstLine="709"/>
        <w:jc w:val="both"/>
        <w:rPr>
          <w:sz w:val="24"/>
          <w:szCs w:val="24"/>
        </w:rPr>
      </w:pPr>
      <w:r w:rsidRPr="00FC7097">
        <w:rPr>
          <w:sz w:val="24"/>
          <w:szCs w:val="24"/>
        </w:rPr>
        <w:t>«Содействие занятости населения Нюксенского муниципального округа» исполнена на 55,7 процента;</w:t>
      </w:r>
    </w:p>
    <w:p w14:paraId="1966C8EE" w14:textId="77777777" w:rsidR="00FC7097" w:rsidRPr="00FC7097" w:rsidRDefault="00FC7097" w:rsidP="00FC7097">
      <w:pPr>
        <w:ind w:firstLine="709"/>
        <w:jc w:val="both"/>
        <w:rPr>
          <w:sz w:val="24"/>
          <w:szCs w:val="28"/>
        </w:rPr>
      </w:pPr>
      <w:r w:rsidRPr="00FC7097">
        <w:rPr>
          <w:sz w:val="24"/>
          <w:szCs w:val="24"/>
        </w:rPr>
        <w:t>«</w:t>
      </w:r>
      <w:r w:rsidRPr="00FC7097">
        <w:rPr>
          <w:sz w:val="24"/>
          <w:szCs w:val="28"/>
        </w:rPr>
        <w:t>Комплексное развитие сельских территорий Нюксенского муниципального округа Вологодской области» исполнена на 62,2 процента.</w:t>
      </w:r>
    </w:p>
    <w:p w14:paraId="17372064" w14:textId="77777777" w:rsidR="00FC7097" w:rsidRPr="00FC7097" w:rsidRDefault="00FC7097" w:rsidP="00FC7097">
      <w:pPr>
        <w:ind w:firstLine="709"/>
        <w:jc w:val="both"/>
        <w:rPr>
          <w:sz w:val="24"/>
          <w:szCs w:val="24"/>
        </w:rPr>
      </w:pPr>
      <w:r w:rsidRPr="00FC7097">
        <w:rPr>
          <w:sz w:val="24"/>
          <w:szCs w:val="28"/>
        </w:rPr>
        <w:t>По 7 программам исполнение варьируется от 31,0 процента до 48,0 процентов.</w:t>
      </w:r>
      <w:r w:rsidRPr="00FC7097">
        <w:rPr>
          <w:sz w:val="24"/>
          <w:szCs w:val="24"/>
        </w:rPr>
        <w:t xml:space="preserve"> </w:t>
      </w:r>
    </w:p>
    <w:p w14:paraId="38E24C35" w14:textId="77777777" w:rsidR="00FC7097" w:rsidRPr="00FC7097" w:rsidRDefault="00FC7097" w:rsidP="00FC7097">
      <w:pPr>
        <w:ind w:firstLine="709"/>
        <w:jc w:val="both"/>
        <w:rPr>
          <w:sz w:val="24"/>
          <w:szCs w:val="28"/>
        </w:rPr>
      </w:pPr>
      <w:r w:rsidRPr="00FC7097">
        <w:rPr>
          <w:sz w:val="24"/>
          <w:szCs w:val="28"/>
        </w:rPr>
        <w:t>По 5 программам исполнение варьируется от 17,1 процента до 28,4 процента.</w:t>
      </w:r>
    </w:p>
    <w:p w14:paraId="5C9269B7" w14:textId="77777777" w:rsidR="00FC7097" w:rsidRPr="00FC7097" w:rsidRDefault="00FC7097" w:rsidP="00FC7097">
      <w:pPr>
        <w:ind w:firstLine="709"/>
        <w:jc w:val="both"/>
        <w:rPr>
          <w:sz w:val="24"/>
          <w:szCs w:val="28"/>
        </w:rPr>
      </w:pPr>
      <w:r w:rsidRPr="00FC7097">
        <w:rPr>
          <w:sz w:val="24"/>
          <w:szCs w:val="28"/>
        </w:rPr>
        <w:t>По 2 программам исполнение варьируется от 3,9 процента до 6,9 процента.</w:t>
      </w:r>
    </w:p>
    <w:p w14:paraId="77EE70DC" w14:textId="77777777" w:rsidR="00FC7097" w:rsidRPr="00FC7097" w:rsidRDefault="00FC7097" w:rsidP="00FC7097">
      <w:pPr>
        <w:ind w:firstLine="709"/>
        <w:jc w:val="both"/>
        <w:rPr>
          <w:sz w:val="24"/>
          <w:szCs w:val="24"/>
        </w:rPr>
      </w:pPr>
      <w:r w:rsidRPr="00FC7097">
        <w:rPr>
          <w:sz w:val="24"/>
          <w:szCs w:val="24"/>
        </w:rPr>
        <w:t>По 1 программе финансирование за 1 полугодие 2024 года не осуществлялось.</w:t>
      </w:r>
    </w:p>
    <w:p w14:paraId="116CB0E5" w14:textId="77777777" w:rsidR="00FC7097" w:rsidRPr="00FC7097" w:rsidRDefault="00FC7097" w:rsidP="00FC7097">
      <w:pPr>
        <w:ind w:firstLine="709"/>
        <w:jc w:val="both"/>
        <w:rPr>
          <w:iCs/>
          <w:sz w:val="24"/>
          <w:szCs w:val="24"/>
        </w:rPr>
      </w:pPr>
      <w:r w:rsidRPr="00FC7097">
        <w:rPr>
          <w:iCs/>
          <w:sz w:val="24"/>
          <w:szCs w:val="24"/>
        </w:rPr>
        <w:t>Недостаточный уровень исполнения программных расходов может привести к недостижению целей муниципальных программ и невыполнению запланированных мероприятий.</w:t>
      </w:r>
    </w:p>
    <w:p w14:paraId="32529335" w14:textId="77777777" w:rsidR="00FC7097" w:rsidRPr="00FC7097" w:rsidRDefault="00FC7097" w:rsidP="00FC7097">
      <w:pPr>
        <w:ind w:firstLine="540"/>
        <w:jc w:val="center"/>
        <w:rPr>
          <w:sz w:val="24"/>
          <w:szCs w:val="24"/>
        </w:rPr>
      </w:pPr>
    </w:p>
    <w:p w14:paraId="24E62BF3" w14:textId="77777777" w:rsidR="00FC7097" w:rsidRPr="00FC7097" w:rsidRDefault="00FC7097" w:rsidP="00FC7097">
      <w:pPr>
        <w:ind w:firstLine="540"/>
        <w:jc w:val="center"/>
        <w:rPr>
          <w:sz w:val="24"/>
          <w:szCs w:val="24"/>
        </w:rPr>
      </w:pPr>
      <w:r w:rsidRPr="00FC7097">
        <w:rPr>
          <w:sz w:val="24"/>
          <w:szCs w:val="24"/>
        </w:rPr>
        <w:t>Непрограммные расходы</w:t>
      </w:r>
    </w:p>
    <w:p w14:paraId="2D30DEFF" w14:textId="77777777" w:rsidR="00FC7097" w:rsidRPr="00FC7097" w:rsidRDefault="00FC7097" w:rsidP="00FC7097">
      <w:pPr>
        <w:ind w:firstLine="540"/>
        <w:jc w:val="both"/>
        <w:rPr>
          <w:sz w:val="24"/>
          <w:szCs w:val="24"/>
        </w:rPr>
      </w:pPr>
    </w:p>
    <w:p w14:paraId="46E7AEAF" w14:textId="77777777" w:rsidR="00FC7097" w:rsidRPr="00FC7097" w:rsidRDefault="00FC7097" w:rsidP="00FC7097">
      <w:pPr>
        <w:ind w:firstLine="540"/>
        <w:jc w:val="both"/>
        <w:rPr>
          <w:rFonts w:eastAsia="Calibri"/>
          <w:sz w:val="24"/>
          <w:szCs w:val="24"/>
          <w:lang w:eastAsia="en-US"/>
        </w:rPr>
      </w:pPr>
      <w:r w:rsidRPr="00FC7097">
        <w:rPr>
          <w:sz w:val="24"/>
          <w:szCs w:val="24"/>
        </w:rPr>
        <w:t xml:space="preserve">Непрограммные расходы за 1 полугодие 2024 года исполнены в сумме 1453,3 </w:t>
      </w:r>
      <w:proofErr w:type="spellStart"/>
      <w:proofErr w:type="gramStart"/>
      <w:r w:rsidRPr="00FC7097">
        <w:rPr>
          <w:sz w:val="24"/>
          <w:szCs w:val="24"/>
        </w:rPr>
        <w:t>тыс.рублей</w:t>
      </w:r>
      <w:proofErr w:type="spellEnd"/>
      <w:proofErr w:type="gramEnd"/>
      <w:r w:rsidRPr="00FC7097">
        <w:rPr>
          <w:sz w:val="24"/>
          <w:szCs w:val="24"/>
        </w:rPr>
        <w:t>.</w:t>
      </w:r>
      <w:r w:rsidRPr="00FC7097">
        <w:rPr>
          <w:rFonts w:eastAsia="Calibri"/>
          <w:sz w:val="24"/>
          <w:szCs w:val="24"/>
          <w:lang w:eastAsia="en-US"/>
        </w:rPr>
        <w:t xml:space="preserve"> </w:t>
      </w:r>
    </w:p>
    <w:p w14:paraId="41254571" w14:textId="77777777" w:rsidR="00FC7097" w:rsidRPr="00FC7097" w:rsidRDefault="00FC7097" w:rsidP="00FC7097">
      <w:pPr>
        <w:ind w:firstLine="540"/>
        <w:jc w:val="both"/>
        <w:rPr>
          <w:rFonts w:eastAsia="Calibri"/>
          <w:sz w:val="24"/>
          <w:szCs w:val="24"/>
          <w:lang w:eastAsia="en-US"/>
        </w:rPr>
      </w:pPr>
      <w:r w:rsidRPr="00FC7097">
        <w:rPr>
          <w:rFonts w:eastAsia="Calibri"/>
          <w:sz w:val="24"/>
          <w:szCs w:val="24"/>
          <w:lang w:eastAsia="en-US"/>
        </w:rPr>
        <w:t xml:space="preserve">Расходы по непрограммным направлениям деятельности главных распорядителей бюджетных средств исполнены комитетом земельно-имущественных отношений на 320,0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(за работы по установлению местоположения границ населенных пунктов); Представительным Собранием округа в сумме 248,5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(за публикацию в газете официальный «Вестник»); Контрольно-счетная комиссия в сумме 620,7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Администрация округа 260,0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(резервный фонд),Обслуживание государственного (муниципального) долга 4,1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w:t>
      </w:r>
    </w:p>
    <w:p w14:paraId="4DE5E009" w14:textId="77777777" w:rsidR="00FC7097" w:rsidRPr="00FC7097" w:rsidRDefault="00FC7097" w:rsidP="00FC7097">
      <w:pPr>
        <w:ind w:firstLine="540"/>
        <w:jc w:val="both"/>
        <w:rPr>
          <w:rFonts w:eastAsia="Calibri"/>
          <w:sz w:val="24"/>
          <w:szCs w:val="24"/>
          <w:lang w:eastAsia="en-US"/>
        </w:rPr>
      </w:pPr>
    </w:p>
    <w:p w14:paraId="06D086E6" w14:textId="77777777" w:rsidR="00FC7097" w:rsidRPr="00FC7097" w:rsidRDefault="00FC7097" w:rsidP="00FC7097">
      <w:pPr>
        <w:ind w:firstLine="540"/>
        <w:jc w:val="center"/>
        <w:rPr>
          <w:rFonts w:eastAsia="Calibri"/>
          <w:sz w:val="24"/>
          <w:szCs w:val="24"/>
          <w:lang w:eastAsia="en-US"/>
        </w:rPr>
      </w:pPr>
      <w:r w:rsidRPr="00FC7097">
        <w:rPr>
          <w:rFonts w:eastAsia="Calibri"/>
          <w:sz w:val="24"/>
          <w:szCs w:val="24"/>
          <w:lang w:eastAsia="en-US"/>
        </w:rPr>
        <w:t>Реализация национальных проектов</w:t>
      </w:r>
    </w:p>
    <w:p w14:paraId="08D3DFED" w14:textId="77777777" w:rsidR="00FC7097" w:rsidRPr="00FC7097" w:rsidRDefault="00FC7097" w:rsidP="00FC7097">
      <w:pPr>
        <w:autoSpaceDE w:val="0"/>
        <w:autoSpaceDN w:val="0"/>
        <w:adjustRightInd w:val="0"/>
        <w:rPr>
          <w:sz w:val="24"/>
          <w:szCs w:val="24"/>
        </w:rPr>
      </w:pPr>
    </w:p>
    <w:p w14:paraId="43424DAE" w14:textId="77777777" w:rsidR="00FC7097" w:rsidRPr="00FC7097" w:rsidRDefault="00FC7097" w:rsidP="00FC7097">
      <w:pPr>
        <w:autoSpaceDE w:val="0"/>
        <w:autoSpaceDN w:val="0"/>
        <w:adjustRightInd w:val="0"/>
        <w:ind w:firstLine="567"/>
        <w:rPr>
          <w:rFonts w:eastAsia="Calibri"/>
          <w:sz w:val="24"/>
          <w:szCs w:val="24"/>
          <w:lang w:eastAsia="en-US"/>
        </w:rPr>
      </w:pPr>
      <w:r w:rsidRPr="00FC7097">
        <w:rPr>
          <w:rFonts w:eastAsia="Calibri"/>
          <w:sz w:val="24"/>
          <w:szCs w:val="24"/>
          <w:lang w:eastAsia="en-US"/>
        </w:rPr>
        <w:t>В 2024 года запланированы расходы, направленные на реализацию национальных проектов в объеме 533 374,5 тыс. рублей.</w:t>
      </w:r>
    </w:p>
    <w:p w14:paraId="1521821B" w14:textId="77777777" w:rsidR="00FC7097" w:rsidRPr="00FC7097" w:rsidRDefault="00FC7097" w:rsidP="00FC7097">
      <w:pPr>
        <w:autoSpaceDE w:val="0"/>
        <w:autoSpaceDN w:val="0"/>
        <w:adjustRightInd w:val="0"/>
        <w:ind w:firstLine="567"/>
        <w:jc w:val="both"/>
        <w:rPr>
          <w:rFonts w:eastAsia="Calibri"/>
          <w:sz w:val="24"/>
          <w:szCs w:val="24"/>
          <w:lang w:eastAsia="en-US"/>
        </w:rPr>
      </w:pPr>
      <w:r w:rsidRPr="00FC7097">
        <w:rPr>
          <w:rFonts w:eastAsia="Calibri"/>
          <w:sz w:val="24"/>
          <w:szCs w:val="24"/>
          <w:lang w:eastAsia="en-US"/>
        </w:rPr>
        <w:t xml:space="preserve">Исполнение национального проекта </w:t>
      </w:r>
      <w:r w:rsidRPr="00FC7097">
        <w:rPr>
          <w:rFonts w:eastAsia="Calibri"/>
          <w:b/>
          <w:bCs/>
          <w:sz w:val="24"/>
          <w:szCs w:val="24"/>
          <w:lang w:eastAsia="en-US"/>
        </w:rPr>
        <w:t>«Демография»</w:t>
      </w:r>
      <w:r w:rsidRPr="00FC7097">
        <w:rPr>
          <w:rFonts w:eastAsia="Calibri"/>
          <w:sz w:val="24"/>
          <w:szCs w:val="24"/>
          <w:lang w:eastAsia="en-US"/>
        </w:rPr>
        <w:t xml:space="preserve"> осуществляется в рамках реализации регионального проекта «Финансовая поддержка семей при рождении детей». Утверждены расходы на 2024 год в сумме 1155,95 тыс. рублей на предоставление единовременной денежной выплаты (ЕДВ «земельный сертификат) взамен предоставления земельного участка многодетным семьям. Данные средства предоставлены в виде субвенции из областного бюджета. </w:t>
      </w:r>
    </w:p>
    <w:p w14:paraId="418906FF" w14:textId="77777777" w:rsidR="00FC7097" w:rsidRPr="00FC7097" w:rsidRDefault="00FC7097" w:rsidP="00FC7097">
      <w:pPr>
        <w:autoSpaceDE w:val="0"/>
        <w:autoSpaceDN w:val="0"/>
        <w:adjustRightInd w:val="0"/>
        <w:ind w:firstLine="567"/>
        <w:jc w:val="both"/>
        <w:rPr>
          <w:sz w:val="28"/>
          <w:szCs w:val="28"/>
        </w:rPr>
      </w:pPr>
      <w:r w:rsidRPr="00FC7097">
        <w:rPr>
          <w:rFonts w:eastAsia="Calibri"/>
          <w:sz w:val="24"/>
          <w:szCs w:val="24"/>
          <w:lang w:eastAsia="en-US"/>
        </w:rPr>
        <w:t>Исполнителем является Комитет земельно-имущественных отношений администрации Нюксенского муниципального округа.</w:t>
      </w:r>
    </w:p>
    <w:p w14:paraId="40DE3F86" w14:textId="77777777" w:rsidR="00FC7097" w:rsidRPr="00FC7097" w:rsidRDefault="00FC7097" w:rsidP="00FC7097">
      <w:pPr>
        <w:ind w:firstLine="567"/>
        <w:jc w:val="both"/>
        <w:rPr>
          <w:rFonts w:eastAsia="Calibri"/>
          <w:sz w:val="24"/>
          <w:szCs w:val="24"/>
          <w:lang w:eastAsia="en-US"/>
        </w:rPr>
      </w:pPr>
      <w:r w:rsidRPr="00FC7097">
        <w:rPr>
          <w:rFonts w:eastAsia="Calibri"/>
          <w:sz w:val="24"/>
          <w:szCs w:val="24"/>
          <w:lang w:eastAsia="en-US"/>
        </w:rPr>
        <w:t xml:space="preserve">Исполнение за 1 полугодие 2024 года составляет 19,3 процента или 223,4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выдан один земельный сертификат (Распоряжение комитета земельно-имущественных отношений администрации Нюксенского муниципального округа № 59 от 22.03.2024 года).</w:t>
      </w:r>
    </w:p>
    <w:p w14:paraId="2937DE2F" w14:textId="77777777" w:rsidR="00FC7097" w:rsidRPr="00FC7097" w:rsidRDefault="00FC7097" w:rsidP="00FC7097">
      <w:pPr>
        <w:ind w:firstLine="567"/>
        <w:jc w:val="both"/>
        <w:rPr>
          <w:rFonts w:eastAsia="Calibri"/>
          <w:sz w:val="24"/>
          <w:szCs w:val="24"/>
          <w:lang w:eastAsia="en-US"/>
        </w:rPr>
      </w:pPr>
      <w:r w:rsidRPr="00FC7097">
        <w:rPr>
          <w:rFonts w:eastAsia="Calibri"/>
          <w:sz w:val="24"/>
          <w:szCs w:val="24"/>
          <w:lang w:eastAsia="en-US"/>
        </w:rPr>
        <w:lastRenderedPageBreak/>
        <w:t xml:space="preserve">Исполнение национального проекта </w:t>
      </w:r>
      <w:r w:rsidRPr="00FC7097">
        <w:rPr>
          <w:rFonts w:eastAsia="Calibri"/>
          <w:b/>
          <w:bCs/>
          <w:sz w:val="24"/>
          <w:szCs w:val="24"/>
          <w:lang w:eastAsia="en-US"/>
        </w:rPr>
        <w:t>«Образование»</w:t>
      </w:r>
      <w:r w:rsidRPr="00FC7097">
        <w:rPr>
          <w:rFonts w:eastAsia="Calibri"/>
          <w:sz w:val="24"/>
          <w:szCs w:val="24"/>
          <w:lang w:eastAsia="en-US"/>
        </w:rPr>
        <w:t xml:space="preserve"> осуществляется в рамках регионального проекта: «Патриотическое воспитание граждан Российской Федерации (Вологодская область) (EВ)». Утверждены расходы в сумме 782,8 тыс. рублей, в том числе за счет федерального бюджета в сумме 751,5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и областного бюджета в сумме 31,3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Исполнителем является Управление образования администрации Нюксенского муниципального округа.</w:t>
      </w:r>
    </w:p>
    <w:p w14:paraId="5F537721" w14:textId="77777777" w:rsidR="00FC7097" w:rsidRPr="00FC7097" w:rsidRDefault="00FC7097" w:rsidP="00FC7097">
      <w:pPr>
        <w:ind w:firstLine="567"/>
        <w:jc w:val="both"/>
        <w:rPr>
          <w:rFonts w:eastAsia="Calibri"/>
          <w:sz w:val="24"/>
          <w:szCs w:val="24"/>
          <w:lang w:eastAsia="en-US"/>
        </w:rPr>
      </w:pPr>
      <w:r w:rsidRPr="00FC7097">
        <w:rPr>
          <w:rFonts w:eastAsia="Calibri"/>
          <w:sz w:val="24"/>
          <w:szCs w:val="24"/>
          <w:lang w:eastAsia="en-US"/>
        </w:rPr>
        <w:t xml:space="preserve"> Исполнение за 1 полугодие 2024 года составило 432,3 тыс. рублей, в том числе за счет федерального бюджета 415,0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и областного бюджета 17,3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или 55,2 процента от плановых назначений.</w:t>
      </w:r>
    </w:p>
    <w:p w14:paraId="200E26D3" w14:textId="77777777" w:rsidR="00FC7097" w:rsidRPr="00FC7097" w:rsidRDefault="00FC7097" w:rsidP="00FC7097">
      <w:pPr>
        <w:ind w:firstLine="567"/>
        <w:jc w:val="both"/>
        <w:rPr>
          <w:rFonts w:eastAsia="Calibri"/>
          <w:sz w:val="24"/>
          <w:szCs w:val="24"/>
          <w:lang w:eastAsia="en-US"/>
        </w:rPr>
      </w:pPr>
      <w:r w:rsidRPr="00FC7097">
        <w:rPr>
          <w:rFonts w:eastAsia="Calibri"/>
          <w:sz w:val="24"/>
          <w:szCs w:val="24"/>
          <w:lang w:eastAsia="en-US"/>
        </w:rPr>
        <w:t xml:space="preserve">Исполнение национального проекта </w:t>
      </w:r>
      <w:r w:rsidRPr="00FC7097">
        <w:rPr>
          <w:rFonts w:eastAsia="Calibri"/>
          <w:b/>
          <w:bCs/>
          <w:sz w:val="24"/>
          <w:szCs w:val="24"/>
          <w:lang w:eastAsia="en-US"/>
        </w:rPr>
        <w:t>«Жилье и городская среда»</w:t>
      </w:r>
      <w:r w:rsidRPr="00FC7097">
        <w:rPr>
          <w:rFonts w:eastAsia="Calibri"/>
          <w:sz w:val="24"/>
          <w:szCs w:val="24"/>
          <w:lang w:eastAsia="en-US"/>
        </w:rPr>
        <w:t xml:space="preserve"> осуществляется в рамках региональных проектов на общую сумму 531 435,5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в том числе за счет федерального бюджета  в сумме 279 757,3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областного бюджета  в сумме 249 541,2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 местного бюджета  в сумме 2137,0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а именно на:</w:t>
      </w:r>
    </w:p>
    <w:p w14:paraId="59F42D77" w14:textId="77777777" w:rsidR="00FC7097" w:rsidRPr="00FC7097" w:rsidRDefault="00FC7097" w:rsidP="00FC7097">
      <w:pPr>
        <w:numPr>
          <w:ilvl w:val="0"/>
          <w:numId w:val="16"/>
        </w:numPr>
        <w:ind w:left="0" w:firstLine="567"/>
        <w:jc w:val="both"/>
        <w:rPr>
          <w:rFonts w:eastAsia="Calibri"/>
          <w:sz w:val="24"/>
          <w:szCs w:val="24"/>
          <w:lang w:eastAsia="en-US"/>
        </w:rPr>
      </w:pPr>
      <w:r w:rsidRPr="00FC7097">
        <w:rPr>
          <w:rFonts w:eastAsia="Calibri"/>
          <w:b/>
          <w:bCs/>
          <w:sz w:val="24"/>
          <w:szCs w:val="24"/>
          <w:lang w:eastAsia="en-US"/>
        </w:rPr>
        <w:t>«Формирование комфортной городской среды»</w:t>
      </w:r>
      <w:r w:rsidRPr="00FC7097">
        <w:rPr>
          <w:rFonts w:eastAsia="Calibri"/>
          <w:sz w:val="24"/>
          <w:szCs w:val="24"/>
          <w:lang w:eastAsia="en-US"/>
        </w:rPr>
        <w:t xml:space="preserve">, в том числе реализация мероприятий по благоустройству дворовых территорий. </w:t>
      </w:r>
      <w:bookmarkStart w:id="5" w:name="_Hlk173224286"/>
      <w:r w:rsidRPr="00FC7097">
        <w:rPr>
          <w:rFonts w:eastAsia="Calibri"/>
          <w:sz w:val="24"/>
          <w:szCs w:val="24"/>
          <w:lang w:eastAsia="en-US"/>
        </w:rPr>
        <w:t xml:space="preserve">Утверждены расходы в сумме 4787,8 тыс. рублей, в том числе за счет федерального бюджета 1229,4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областного бюджета 3079,6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 бюджета округа 478,8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w:t>
      </w:r>
      <w:bookmarkEnd w:id="5"/>
      <w:r w:rsidRPr="00FC7097">
        <w:rPr>
          <w:rFonts w:eastAsia="Calibri"/>
          <w:sz w:val="24"/>
          <w:szCs w:val="24"/>
          <w:lang w:eastAsia="en-US"/>
        </w:rPr>
        <w:t xml:space="preserve"> Исполнителем является Управление народнохозяйственного комплекса администрации Нюксенского муниципального округа. Исполнение за 1 полугодие 2024 года составило 99,9 процента или 4786,4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w:t>
      </w:r>
    </w:p>
    <w:p w14:paraId="07810CA5" w14:textId="77777777" w:rsidR="00FC7097" w:rsidRPr="00FC7097" w:rsidRDefault="00FC7097" w:rsidP="00FC7097">
      <w:pPr>
        <w:numPr>
          <w:ilvl w:val="0"/>
          <w:numId w:val="16"/>
        </w:numPr>
        <w:ind w:left="0" w:firstLine="567"/>
        <w:jc w:val="both"/>
        <w:rPr>
          <w:rFonts w:eastAsia="Calibri"/>
          <w:sz w:val="24"/>
          <w:szCs w:val="24"/>
          <w:lang w:eastAsia="en-US"/>
        </w:rPr>
      </w:pPr>
      <w:r w:rsidRPr="00FC7097">
        <w:rPr>
          <w:rFonts w:eastAsia="Calibri"/>
          <w:b/>
          <w:bCs/>
          <w:sz w:val="24"/>
          <w:szCs w:val="24"/>
          <w:lang w:eastAsia="en-US"/>
        </w:rPr>
        <w:t>«Обеспечение устойчивого сокращения непригодного для проживания жилищного фонда»</w:t>
      </w:r>
      <w:r w:rsidRPr="00FC7097">
        <w:rPr>
          <w:rFonts w:eastAsia="Calibri"/>
          <w:sz w:val="24"/>
          <w:szCs w:val="24"/>
          <w:lang w:eastAsia="en-US"/>
        </w:rPr>
        <w:t xml:space="preserve">, в том числе реализация мероприятий по приобретению (строительство) жилья в целях переселения граждан из аварийного жилищного фонда. Утверждены расходы в сумме 354 591,7 тыс. рублей, в том числе за счет федерального бюджета 114 740,2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областного бюджета 239 841,8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 бюджета округа 9,7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w:t>
      </w:r>
      <w:r w:rsidRPr="00FC7097">
        <w:rPr>
          <w:sz w:val="24"/>
          <w:szCs w:val="24"/>
        </w:rPr>
        <w:t xml:space="preserve"> </w:t>
      </w:r>
    </w:p>
    <w:p w14:paraId="7CCEC452" w14:textId="77777777" w:rsidR="00FC7097" w:rsidRPr="00FC7097" w:rsidRDefault="00FC7097" w:rsidP="00FC7097">
      <w:pPr>
        <w:ind w:firstLine="567"/>
        <w:jc w:val="both"/>
        <w:rPr>
          <w:rFonts w:eastAsia="Calibri"/>
          <w:sz w:val="24"/>
          <w:szCs w:val="24"/>
          <w:lang w:eastAsia="en-US"/>
        </w:rPr>
      </w:pPr>
      <w:r w:rsidRPr="00FC7097">
        <w:rPr>
          <w:rFonts w:eastAsia="Calibri"/>
          <w:sz w:val="24"/>
          <w:szCs w:val="24"/>
          <w:lang w:eastAsia="en-US"/>
        </w:rPr>
        <w:t xml:space="preserve">Исполнителем является Управление народнохозяйственного комплекса администрации Нюксенского муниципального округа. Исполнение за 1 полугодие 2024 года составило 23,3% или 82 710,7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в том числе за счет федерального бюджета 52 045,3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 областного бюджета 30 663,4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местный бюджет 2,0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w:t>
      </w:r>
    </w:p>
    <w:p w14:paraId="234E6857" w14:textId="77777777" w:rsidR="00FC7097" w:rsidRPr="00FC7097" w:rsidRDefault="00FC7097" w:rsidP="00FC7097">
      <w:pPr>
        <w:numPr>
          <w:ilvl w:val="0"/>
          <w:numId w:val="16"/>
        </w:numPr>
        <w:ind w:left="0" w:firstLine="567"/>
        <w:jc w:val="both"/>
        <w:rPr>
          <w:rFonts w:eastAsia="Calibri"/>
          <w:sz w:val="24"/>
          <w:szCs w:val="24"/>
          <w:lang w:eastAsia="en-US"/>
        </w:rPr>
      </w:pPr>
      <w:r w:rsidRPr="00FC7097">
        <w:rPr>
          <w:rFonts w:eastAsia="Calibri"/>
          <w:b/>
          <w:bCs/>
          <w:sz w:val="24"/>
          <w:szCs w:val="24"/>
          <w:lang w:eastAsia="en-US"/>
        </w:rPr>
        <w:t>«Чистая вода»</w:t>
      </w:r>
      <w:r w:rsidRPr="00FC7097">
        <w:rPr>
          <w:rFonts w:eastAsia="Calibri"/>
          <w:sz w:val="24"/>
          <w:szCs w:val="24"/>
          <w:lang w:eastAsia="en-US"/>
        </w:rPr>
        <w:t xml:space="preserve">, в том числе реализация мероприятий по строительству и реконструкции (модернизации) объектов питьевого водоснабжения. Утверждены расходы на общую сумму 172 056,0 тыс. рублей, в том числе за счет федерального бюджета 163 787,7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областного бюджета 6619,8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 бюджета округа 1648,5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w:t>
      </w:r>
    </w:p>
    <w:p w14:paraId="12059079" w14:textId="77777777" w:rsidR="00FC7097" w:rsidRPr="00FC7097" w:rsidRDefault="00FC7097" w:rsidP="00FC7097">
      <w:pPr>
        <w:ind w:firstLine="709"/>
        <w:jc w:val="both"/>
        <w:rPr>
          <w:rFonts w:eastAsia="Calibri"/>
          <w:sz w:val="24"/>
          <w:szCs w:val="24"/>
          <w:lang w:eastAsia="en-US"/>
        </w:rPr>
      </w:pPr>
      <w:r w:rsidRPr="00FC7097">
        <w:rPr>
          <w:rFonts w:eastAsia="Calibri"/>
          <w:sz w:val="24"/>
          <w:szCs w:val="24"/>
          <w:lang w:eastAsia="en-US"/>
        </w:rPr>
        <w:t>Исполнителем является Управление народнохозяйственного комплекса администрации Нюксенского муниципального округа. В рамках реализации мероприятия планируется   провести выполнение реконструкции распределительной сети водоснабжения в с. Нюксеница, Нюксенского района, Вологодской области 1 этап;</w:t>
      </w:r>
      <w:r w:rsidRPr="00FC7097">
        <w:rPr>
          <w:sz w:val="24"/>
          <w:szCs w:val="24"/>
        </w:rPr>
        <w:t xml:space="preserve"> </w:t>
      </w:r>
      <w:r w:rsidRPr="00FC7097">
        <w:rPr>
          <w:rFonts w:eastAsia="Calibri"/>
          <w:sz w:val="24"/>
          <w:szCs w:val="24"/>
          <w:lang w:eastAsia="en-US"/>
        </w:rPr>
        <w:t xml:space="preserve">услуги по проведению строительного контроля при строительстве: «Реконструкция распределительной сети водоснабжения в с. Нюксеница, Нюксенского района, Вологодской области 1 этап»; услуги по авторскому надзору за </w:t>
      </w:r>
      <w:proofErr w:type="spellStart"/>
      <w:r w:rsidRPr="00FC7097">
        <w:rPr>
          <w:rFonts w:eastAsia="Calibri"/>
          <w:sz w:val="24"/>
          <w:szCs w:val="24"/>
          <w:lang w:eastAsia="en-US"/>
        </w:rPr>
        <w:t>строительно</w:t>
      </w:r>
      <w:proofErr w:type="spellEnd"/>
      <w:r w:rsidRPr="00FC7097">
        <w:rPr>
          <w:rFonts w:eastAsia="Calibri"/>
          <w:sz w:val="24"/>
          <w:szCs w:val="24"/>
          <w:lang w:eastAsia="en-US"/>
        </w:rPr>
        <w:t xml:space="preserve"> – монтажными работами по объекту  «Реконструкция распределительной сети водоснабжения в с. Нюксеница, Нюксенского района, Вологодской области 1 этап».</w:t>
      </w:r>
    </w:p>
    <w:p w14:paraId="7A8434A4" w14:textId="77777777" w:rsidR="00FC7097" w:rsidRPr="00FC7097" w:rsidRDefault="00FC7097" w:rsidP="00FC7097">
      <w:pPr>
        <w:jc w:val="both"/>
        <w:rPr>
          <w:rFonts w:eastAsia="Calibri"/>
          <w:sz w:val="24"/>
          <w:szCs w:val="24"/>
          <w:lang w:eastAsia="en-US"/>
        </w:rPr>
      </w:pPr>
      <w:r w:rsidRPr="00FC7097">
        <w:rPr>
          <w:rFonts w:eastAsia="Calibri"/>
          <w:sz w:val="24"/>
          <w:szCs w:val="24"/>
          <w:lang w:eastAsia="en-US"/>
        </w:rPr>
        <w:t xml:space="preserve"> Исполнение за 1 полугодие 2024 года составило 20,4% или 35 096,7 </w:t>
      </w:r>
      <w:proofErr w:type="spellStart"/>
      <w:proofErr w:type="gramStart"/>
      <w:r w:rsidRPr="00FC7097">
        <w:rPr>
          <w:rFonts w:eastAsia="Calibri"/>
          <w:sz w:val="24"/>
          <w:szCs w:val="24"/>
          <w:lang w:eastAsia="en-US"/>
        </w:rPr>
        <w:t>тыс.рублей</w:t>
      </w:r>
      <w:proofErr w:type="spellEnd"/>
      <w:proofErr w:type="gramEnd"/>
      <w:r w:rsidRPr="00FC7097">
        <w:rPr>
          <w:rFonts w:eastAsia="Calibri"/>
          <w:sz w:val="24"/>
          <w:szCs w:val="24"/>
          <w:lang w:eastAsia="en-US"/>
        </w:rPr>
        <w:t xml:space="preserve">, в том числе за счет федерального бюджета 33 683,3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и областного бюджета 1361,4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 xml:space="preserve">, местный бюджет 52,0 </w:t>
      </w:r>
      <w:proofErr w:type="spellStart"/>
      <w:r w:rsidRPr="00FC7097">
        <w:rPr>
          <w:rFonts w:eastAsia="Calibri"/>
          <w:sz w:val="24"/>
          <w:szCs w:val="24"/>
          <w:lang w:eastAsia="en-US"/>
        </w:rPr>
        <w:t>тыс.рублей</w:t>
      </w:r>
      <w:proofErr w:type="spellEnd"/>
      <w:r w:rsidRPr="00FC7097">
        <w:rPr>
          <w:rFonts w:eastAsia="Calibri"/>
          <w:sz w:val="24"/>
          <w:szCs w:val="24"/>
          <w:lang w:eastAsia="en-US"/>
        </w:rPr>
        <w:t>.</w:t>
      </w:r>
    </w:p>
    <w:p w14:paraId="3CE46ABE" w14:textId="77777777" w:rsidR="00FC7097" w:rsidRPr="00FC7097" w:rsidRDefault="00FC7097" w:rsidP="00FC7097">
      <w:pPr>
        <w:ind w:firstLine="540"/>
        <w:jc w:val="both"/>
        <w:rPr>
          <w:sz w:val="24"/>
          <w:szCs w:val="24"/>
        </w:rPr>
      </w:pPr>
    </w:p>
    <w:p w14:paraId="21DFDBE8" w14:textId="77777777" w:rsidR="00FC7097" w:rsidRPr="00FC7097" w:rsidRDefault="00FC7097" w:rsidP="00FC7097">
      <w:pPr>
        <w:ind w:firstLine="709"/>
        <w:jc w:val="center"/>
        <w:outlineLvl w:val="0"/>
        <w:rPr>
          <w:sz w:val="24"/>
          <w:szCs w:val="24"/>
        </w:rPr>
      </w:pPr>
      <w:r w:rsidRPr="00FC7097">
        <w:rPr>
          <w:sz w:val="24"/>
          <w:szCs w:val="24"/>
        </w:rPr>
        <w:t>Резервный фонд администрации округа</w:t>
      </w:r>
    </w:p>
    <w:p w14:paraId="240427CD" w14:textId="77777777" w:rsidR="00FC7097" w:rsidRPr="00FC7097" w:rsidRDefault="00FC7097" w:rsidP="00FC7097">
      <w:pPr>
        <w:ind w:firstLine="709"/>
        <w:jc w:val="center"/>
        <w:outlineLvl w:val="0"/>
        <w:rPr>
          <w:b/>
          <w:bCs/>
          <w:sz w:val="24"/>
          <w:szCs w:val="24"/>
          <w:highlight w:val="lightGray"/>
        </w:rPr>
      </w:pPr>
    </w:p>
    <w:p w14:paraId="4E77B91D" w14:textId="77777777" w:rsidR="00FC7097" w:rsidRPr="00FC7097" w:rsidRDefault="00FC7097" w:rsidP="00FC7097">
      <w:pPr>
        <w:ind w:right="-2" w:firstLine="567"/>
        <w:jc w:val="both"/>
        <w:rPr>
          <w:sz w:val="24"/>
          <w:szCs w:val="24"/>
        </w:rPr>
      </w:pPr>
      <w:r w:rsidRPr="00FC7097">
        <w:rPr>
          <w:rFonts w:eastAsia="Calibri"/>
          <w:sz w:val="24"/>
          <w:szCs w:val="24"/>
          <w:lang w:eastAsia="en-US"/>
        </w:rPr>
        <w:t>Решением о бюджете размер резервного фонда администрации Нюксенского муниципального округа Вологодской области установлен в сумме 610,0 тыс. рублей.</w:t>
      </w:r>
    </w:p>
    <w:p w14:paraId="3806FB2B" w14:textId="1F9BDB88" w:rsidR="00FC7097" w:rsidRPr="00FC7097" w:rsidRDefault="00FC7097" w:rsidP="00FC7097">
      <w:pPr>
        <w:tabs>
          <w:tab w:val="left" w:pos="284"/>
        </w:tabs>
        <w:ind w:firstLine="567"/>
        <w:jc w:val="both"/>
        <w:rPr>
          <w:rFonts w:eastAsia="Calibri"/>
          <w:sz w:val="24"/>
          <w:szCs w:val="24"/>
          <w:lang w:eastAsia="en-US"/>
        </w:rPr>
      </w:pPr>
      <w:r w:rsidRPr="00FC7097">
        <w:rPr>
          <w:sz w:val="24"/>
          <w:szCs w:val="24"/>
        </w:rPr>
        <w:lastRenderedPageBreak/>
        <w:t xml:space="preserve">Согласно Отчета об использовании средств резервного фонда администрации округа за 1 полугодие 2024 года расходы из резервного фонда администрации производились в сумме 260,0 тыс. рублей </w:t>
      </w:r>
      <w:r w:rsidRPr="00FC7097">
        <w:rPr>
          <w:rFonts w:eastAsia="Calibri"/>
          <w:sz w:val="24"/>
          <w:szCs w:val="24"/>
          <w:lang w:eastAsia="en-US"/>
        </w:rPr>
        <w:t>на непредвиденные расходы</w:t>
      </w:r>
    </w:p>
    <w:p w14:paraId="7EDE5F42" w14:textId="77777777" w:rsidR="00FC7097" w:rsidRPr="00FC7097" w:rsidRDefault="00FC7097" w:rsidP="00FC7097">
      <w:pPr>
        <w:ind w:firstLine="851"/>
        <w:jc w:val="both"/>
        <w:rPr>
          <w:rFonts w:eastAsia="Calibri"/>
          <w:sz w:val="24"/>
          <w:szCs w:val="24"/>
          <w:lang w:eastAsia="en-US"/>
        </w:rPr>
      </w:pPr>
      <w:r w:rsidRPr="00FC7097">
        <w:rPr>
          <w:rFonts w:eastAsia="Calibri"/>
          <w:sz w:val="24"/>
          <w:szCs w:val="24"/>
          <w:lang w:eastAsia="en-US"/>
        </w:rPr>
        <w:t>Анализ расходования средств резервного фонда администрации округа показал, что цели, на реализацию которых направлены средства резервного фонда, соответствуют пункту 4 статьи 81 БК РФ и Положению о порядке использования средств резервного фонда администрации округа, утвержденному постановлением администрации Нюксенского муниципального округа от 09.01.2023 № 3.</w:t>
      </w:r>
    </w:p>
    <w:p w14:paraId="33F9617C" w14:textId="77777777" w:rsidR="00FC7097" w:rsidRPr="00FC7097" w:rsidRDefault="00FC7097" w:rsidP="00FC7097">
      <w:pPr>
        <w:autoSpaceDE w:val="0"/>
        <w:autoSpaceDN w:val="0"/>
        <w:adjustRightInd w:val="0"/>
        <w:jc w:val="both"/>
        <w:rPr>
          <w:sz w:val="24"/>
          <w:szCs w:val="24"/>
        </w:rPr>
      </w:pPr>
    </w:p>
    <w:p w14:paraId="011DAB4A" w14:textId="77777777" w:rsidR="00FC7097" w:rsidRPr="00FC7097" w:rsidRDefault="00FC7097" w:rsidP="00FC7097">
      <w:pPr>
        <w:autoSpaceDE w:val="0"/>
        <w:autoSpaceDN w:val="0"/>
        <w:adjustRightInd w:val="0"/>
        <w:jc w:val="center"/>
        <w:rPr>
          <w:sz w:val="24"/>
          <w:szCs w:val="24"/>
        </w:rPr>
      </w:pPr>
      <w:r w:rsidRPr="00FC7097">
        <w:rPr>
          <w:sz w:val="24"/>
          <w:szCs w:val="24"/>
        </w:rPr>
        <w:t>Использование средств дорожного фонда</w:t>
      </w:r>
    </w:p>
    <w:p w14:paraId="6A40F62B" w14:textId="77777777" w:rsidR="00FC7097" w:rsidRPr="00FC7097" w:rsidRDefault="00FC7097" w:rsidP="00FC7097">
      <w:pPr>
        <w:autoSpaceDE w:val="0"/>
        <w:autoSpaceDN w:val="0"/>
        <w:adjustRightInd w:val="0"/>
        <w:jc w:val="center"/>
        <w:rPr>
          <w:sz w:val="24"/>
          <w:szCs w:val="24"/>
        </w:rPr>
      </w:pPr>
    </w:p>
    <w:p w14:paraId="5930C9FB" w14:textId="77777777" w:rsidR="00FC7097" w:rsidRPr="00FC7097" w:rsidRDefault="00FC7097" w:rsidP="00FC7097">
      <w:pPr>
        <w:autoSpaceDE w:val="0"/>
        <w:autoSpaceDN w:val="0"/>
        <w:adjustRightInd w:val="0"/>
        <w:ind w:firstLine="709"/>
        <w:jc w:val="both"/>
        <w:rPr>
          <w:rFonts w:ascii="Times New Roman CYR" w:hAnsi="Times New Roman CYR" w:cs="Times New Roman CYR"/>
          <w:color w:val="000000"/>
          <w:sz w:val="24"/>
          <w:szCs w:val="24"/>
        </w:rPr>
      </w:pPr>
      <w:r w:rsidRPr="00FC7097">
        <w:rPr>
          <w:color w:val="000000"/>
          <w:sz w:val="24"/>
          <w:szCs w:val="24"/>
        </w:rPr>
        <w:t>Расходы Дорожного фонда Нюксенского муниципального округа сформированы в соответствии с «Порядком формирования и использования бюджетных ассигнований муниципального дорожного фонда Нюксенского муниципального округа», утвержденного решением Представительного Собрания Нюксенского муниципального округа от 26.10.2022 № 22.</w:t>
      </w:r>
      <w:r w:rsidRPr="00FC7097">
        <w:rPr>
          <w:rFonts w:ascii="Times New Roman CYR" w:hAnsi="Times New Roman CYR" w:cs="Times New Roman CYR"/>
          <w:color w:val="000000"/>
          <w:sz w:val="24"/>
          <w:szCs w:val="24"/>
        </w:rPr>
        <w:t xml:space="preserve"> </w:t>
      </w:r>
    </w:p>
    <w:p w14:paraId="4C3BFC2D" w14:textId="77777777" w:rsidR="00FC7097" w:rsidRPr="00FC7097" w:rsidRDefault="00FC7097" w:rsidP="00FC7097">
      <w:pPr>
        <w:ind w:firstLine="567"/>
        <w:jc w:val="both"/>
        <w:rPr>
          <w:b/>
          <w:bCs/>
          <w:sz w:val="24"/>
          <w:szCs w:val="24"/>
        </w:rPr>
      </w:pPr>
      <w:r w:rsidRPr="00FC7097">
        <w:rPr>
          <w:sz w:val="24"/>
          <w:szCs w:val="24"/>
        </w:rPr>
        <w:t xml:space="preserve">Согласно бюджетной росписи (с учетом изменений) на мероприятия по осуществлению дорожной деятельности из средств дорожного фонда запланировано 77 514,9 тыс. рублей по подразделу </w:t>
      </w:r>
      <w:r w:rsidRPr="00FC7097">
        <w:rPr>
          <w:b/>
          <w:bCs/>
          <w:sz w:val="24"/>
          <w:szCs w:val="24"/>
        </w:rPr>
        <w:t>0409 «Дорожное хозяйство (дорожные фонды)».</w:t>
      </w:r>
    </w:p>
    <w:p w14:paraId="488380E9" w14:textId="4D3DDEA0" w:rsidR="00FC7097" w:rsidRPr="00FC7097" w:rsidRDefault="00FC7097" w:rsidP="00FC7097">
      <w:pPr>
        <w:autoSpaceDE w:val="0"/>
        <w:autoSpaceDN w:val="0"/>
        <w:adjustRightInd w:val="0"/>
        <w:ind w:firstLine="709"/>
        <w:jc w:val="both"/>
        <w:rPr>
          <w:sz w:val="24"/>
          <w:szCs w:val="24"/>
        </w:rPr>
      </w:pPr>
      <w:r w:rsidRPr="00FC7097">
        <w:rPr>
          <w:sz w:val="24"/>
          <w:szCs w:val="24"/>
        </w:rPr>
        <w:t xml:space="preserve">В 1 полугодие 2024 года средства дорожного фонда исполнены в сумме 54 148,1 </w:t>
      </w:r>
      <w:proofErr w:type="spellStart"/>
      <w:proofErr w:type="gramStart"/>
      <w:r w:rsidRPr="00FC7097">
        <w:rPr>
          <w:sz w:val="24"/>
          <w:szCs w:val="24"/>
        </w:rPr>
        <w:t>тыс.рублей</w:t>
      </w:r>
      <w:proofErr w:type="spellEnd"/>
      <w:proofErr w:type="gramEnd"/>
      <w:r w:rsidRPr="00FC7097">
        <w:rPr>
          <w:sz w:val="24"/>
          <w:szCs w:val="24"/>
        </w:rPr>
        <w:t xml:space="preserve"> или на 69,9 процента от плановых назначений</w:t>
      </w:r>
      <w:r>
        <w:rPr>
          <w:sz w:val="24"/>
          <w:szCs w:val="24"/>
        </w:rPr>
        <w:t>.</w:t>
      </w:r>
    </w:p>
    <w:p w14:paraId="77F53F9C" w14:textId="77777777" w:rsidR="00FC7097" w:rsidRPr="00FC7097" w:rsidRDefault="00FC7097" w:rsidP="00FC7097">
      <w:pPr>
        <w:tabs>
          <w:tab w:val="left" w:pos="284"/>
        </w:tabs>
        <w:jc w:val="center"/>
        <w:rPr>
          <w:rFonts w:eastAsia="Calibri"/>
          <w:sz w:val="24"/>
          <w:szCs w:val="24"/>
          <w:lang w:eastAsia="en-US"/>
        </w:rPr>
      </w:pPr>
    </w:p>
    <w:p w14:paraId="16964321" w14:textId="77777777" w:rsidR="00FC7097" w:rsidRPr="00FC7097" w:rsidRDefault="00FC7097" w:rsidP="00FC7097">
      <w:pPr>
        <w:tabs>
          <w:tab w:val="left" w:pos="284"/>
        </w:tabs>
        <w:jc w:val="center"/>
        <w:rPr>
          <w:rFonts w:eastAsia="Calibri"/>
          <w:sz w:val="24"/>
          <w:szCs w:val="24"/>
          <w:lang w:eastAsia="en-US"/>
        </w:rPr>
      </w:pPr>
      <w:r w:rsidRPr="00FC7097">
        <w:rPr>
          <w:rFonts w:eastAsia="Calibri"/>
          <w:sz w:val="24"/>
          <w:szCs w:val="24"/>
          <w:lang w:eastAsia="en-US"/>
        </w:rPr>
        <w:t>Муниципальный долг. Программа муниципальных заимствований.</w:t>
      </w:r>
    </w:p>
    <w:p w14:paraId="1D99FB6B" w14:textId="77777777" w:rsidR="00FC7097" w:rsidRPr="00FC7097" w:rsidRDefault="00FC7097" w:rsidP="00FC7097">
      <w:pPr>
        <w:tabs>
          <w:tab w:val="left" w:pos="284"/>
        </w:tabs>
        <w:jc w:val="center"/>
        <w:rPr>
          <w:rFonts w:eastAsia="Calibri"/>
          <w:sz w:val="24"/>
          <w:szCs w:val="24"/>
          <w:lang w:eastAsia="en-US"/>
        </w:rPr>
      </w:pPr>
    </w:p>
    <w:p w14:paraId="553385D5" w14:textId="77777777" w:rsidR="00FC7097" w:rsidRPr="00FC7097" w:rsidRDefault="00FC7097" w:rsidP="00FC7097">
      <w:pPr>
        <w:tabs>
          <w:tab w:val="left" w:pos="284"/>
        </w:tabs>
        <w:ind w:firstLine="709"/>
        <w:jc w:val="both"/>
        <w:rPr>
          <w:rFonts w:eastAsia="Calibri"/>
          <w:sz w:val="24"/>
          <w:szCs w:val="24"/>
          <w:lang w:eastAsia="en-US"/>
        </w:rPr>
      </w:pPr>
      <w:r w:rsidRPr="00FC7097">
        <w:rPr>
          <w:sz w:val="24"/>
          <w:szCs w:val="24"/>
        </w:rPr>
        <w:t>Муниципальный долг Нюксенского муниципального округа по</w:t>
      </w:r>
      <w:r w:rsidRPr="00FC7097">
        <w:rPr>
          <w:rFonts w:eastAsia="Calibri"/>
          <w:sz w:val="24"/>
          <w:szCs w:val="24"/>
          <w:lang w:eastAsia="en-US"/>
        </w:rPr>
        <w:t xml:space="preserve"> состоянию </w:t>
      </w:r>
      <w:r w:rsidRPr="00FC7097">
        <w:rPr>
          <w:sz w:val="24"/>
          <w:szCs w:val="24"/>
        </w:rPr>
        <w:t xml:space="preserve">на 01.07.2024 года составляет 8200,0 </w:t>
      </w:r>
      <w:proofErr w:type="spellStart"/>
      <w:proofErr w:type="gramStart"/>
      <w:r w:rsidRPr="00FC7097">
        <w:rPr>
          <w:sz w:val="24"/>
          <w:szCs w:val="24"/>
        </w:rPr>
        <w:t>тыс.рублей</w:t>
      </w:r>
      <w:proofErr w:type="spellEnd"/>
      <w:proofErr w:type="gramEnd"/>
      <w:r w:rsidRPr="00FC7097">
        <w:rPr>
          <w:sz w:val="24"/>
          <w:szCs w:val="24"/>
        </w:rPr>
        <w:t xml:space="preserve">. Общая сумма бюджетного кредита 9400,0 </w:t>
      </w:r>
      <w:proofErr w:type="spellStart"/>
      <w:proofErr w:type="gramStart"/>
      <w:r w:rsidRPr="00FC7097">
        <w:rPr>
          <w:sz w:val="24"/>
          <w:szCs w:val="24"/>
        </w:rPr>
        <w:t>тыс.рублей</w:t>
      </w:r>
      <w:proofErr w:type="spellEnd"/>
      <w:proofErr w:type="gramEnd"/>
      <w:r w:rsidRPr="00FC7097">
        <w:rPr>
          <w:sz w:val="24"/>
          <w:szCs w:val="24"/>
        </w:rPr>
        <w:t xml:space="preserve">. Погашение бюджетного кредита осуществляется согласно программы муниципальных внутренних заимствований на очередной финансовый 2024 год.  Объем расходов на обслуживание муниципального внутреннего долга на 01.07.2024 года составили 4,1 </w:t>
      </w:r>
      <w:proofErr w:type="spellStart"/>
      <w:proofErr w:type="gramStart"/>
      <w:r w:rsidRPr="00FC7097">
        <w:rPr>
          <w:sz w:val="24"/>
          <w:szCs w:val="24"/>
        </w:rPr>
        <w:t>тыс.рублей</w:t>
      </w:r>
      <w:proofErr w:type="spellEnd"/>
      <w:proofErr w:type="gramEnd"/>
      <w:r w:rsidRPr="00FC7097">
        <w:rPr>
          <w:sz w:val="24"/>
          <w:szCs w:val="24"/>
        </w:rPr>
        <w:t>.</w:t>
      </w:r>
    </w:p>
    <w:sectPr w:rsidR="00FC7097" w:rsidRPr="00FC7097" w:rsidSect="00441DA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7C8A"/>
    <w:multiLevelType w:val="hybridMultilevel"/>
    <w:tmpl w:val="4EEE8F9A"/>
    <w:lvl w:ilvl="0" w:tplc="5AE0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4"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D4259B"/>
    <w:multiLevelType w:val="hybridMultilevel"/>
    <w:tmpl w:val="36CC7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0D51CE"/>
    <w:multiLevelType w:val="hybridMultilevel"/>
    <w:tmpl w:val="847041AC"/>
    <w:lvl w:ilvl="0" w:tplc="7CFAE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ED30495"/>
    <w:multiLevelType w:val="hybridMultilevel"/>
    <w:tmpl w:val="5FA2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11" w15:restartNumberingAfterBreak="0">
    <w:nsid w:val="5BE52AA7"/>
    <w:multiLevelType w:val="hybridMultilevel"/>
    <w:tmpl w:val="6EFAE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C221097"/>
    <w:multiLevelType w:val="hybridMultilevel"/>
    <w:tmpl w:val="96EEBF94"/>
    <w:lvl w:ilvl="0" w:tplc="036A5B3C">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32130125">
    <w:abstractNumId w:val="1"/>
  </w:num>
  <w:num w:numId="2" w16cid:durableId="1473786558">
    <w:abstractNumId w:val="10"/>
  </w:num>
  <w:num w:numId="3" w16cid:durableId="1443499460">
    <w:abstractNumId w:val="3"/>
  </w:num>
  <w:num w:numId="4" w16cid:durableId="1016468010">
    <w:abstractNumId w:val="12"/>
  </w:num>
  <w:num w:numId="5" w16cid:durableId="233928940">
    <w:abstractNumId w:val="14"/>
  </w:num>
  <w:num w:numId="6" w16cid:durableId="1171601278">
    <w:abstractNumId w:val="5"/>
  </w:num>
  <w:num w:numId="7" w16cid:durableId="766464725">
    <w:abstractNumId w:val="2"/>
  </w:num>
  <w:num w:numId="8" w16cid:durableId="32315927">
    <w:abstractNumId w:val="13"/>
  </w:num>
  <w:num w:numId="9" w16cid:durableId="185754364">
    <w:abstractNumId w:val="7"/>
  </w:num>
  <w:num w:numId="10" w16cid:durableId="1000739882">
    <w:abstractNumId w:val="4"/>
  </w:num>
  <w:num w:numId="11" w16cid:durableId="1206721809">
    <w:abstractNumId w:val="6"/>
  </w:num>
  <w:num w:numId="12" w16cid:durableId="1018580197">
    <w:abstractNumId w:val="11"/>
  </w:num>
  <w:num w:numId="13" w16cid:durableId="881136194">
    <w:abstractNumId w:val="3"/>
  </w:num>
  <w:num w:numId="14" w16cid:durableId="663819869">
    <w:abstractNumId w:val="9"/>
  </w:num>
  <w:num w:numId="15" w16cid:durableId="507330937">
    <w:abstractNumId w:val="0"/>
  </w:num>
  <w:num w:numId="16" w16cid:durableId="78867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23A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2C2A"/>
    <w:rsid w:val="00E63B4D"/>
    <w:rsid w:val="00E6489A"/>
    <w:rsid w:val="00E65541"/>
    <w:rsid w:val="00E65613"/>
    <w:rsid w:val="00E7692F"/>
    <w:rsid w:val="00E8522D"/>
    <w:rsid w:val="00E867FE"/>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C7097"/>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semiHidden/>
    <w:rsid w:val="00FC7097"/>
  </w:style>
  <w:style w:type="paragraph" w:customStyle="1" w:styleId="affa">
    <w:name w:val="Знак Знак Знак Знак Знак Знак"/>
    <w:basedOn w:val="a"/>
    <w:rsid w:val="00FC7097"/>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cp:lastPrinted>2024-07-26T12:43:00Z</cp:lastPrinted>
  <dcterms:created xsi:type="dcterms:W3CDTF">2024-07-26T12:39:00Z</dcterms:created>
  <dcterms:modified xsi:type="dcterms:W3CDTF">2024-08-01T06:57:00Z</dcterms:modified>
</cp:coreProperties>
</file>