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360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561BE6" w:rsidRPr="00273407" w:rsidTr="00561BE6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9300" w:type="dxa"/>
              <w:tblLayout w:type="fixed"/>
              <w:tblLook w:val="01E0" w:firstRow="1" w:lastRow="1" w:firstColumn="1" w:lastColumn="1" w:noHBand="0" w:noVBand="0"/>
            </w:tblPr>
            <w:tblGrid>
              <w:gridCol w:w="2041"/>
              <w:gridCol w:w="1134"/>
              <w:gridCol w:w="2949"/>
              <w:gridCol w:w="1588"/>
              <w:gridCol w:w="1588"/>
            </w:tblGrid>
            <w:tr w:rsidR="00561BE6" w:rsidRPr="00273407">
              <w:trPr>
                <w:trHeight w:val="230"/>
              </w:trPr>
              <w:tc>
                <w:tcPr>
                  <w:tcW w:w="9294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ПОЯСНИТЕЛЬНАЯ ЗАПИСКА</w:t>
                  </w:r>
                </w:p>
              </w:tc>
            </w:tr>
            <w:tr w:rsidR="00561BE6" w:rsidRPr="00273407">
              <w:trPr>
                <w:trHeight w:val="1"/>
              </w:trPr>
              <w:tc>
                <w:tcPr>
                  <w:tcW w:w="9294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c>
                <w:tcPr>
                  <w:tcW w:w="7707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КОДЫ</w:t>
                  </w:r>
                </w:p>
              </w:tc>
            </w:tr>
            <w:tr w:rsidR="00561BE6" w:rsidRPr="00273407"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0503160</w:t>
                  </w:r>
                </w:p>
              </w:tc>
            </w:tr>
            <w:tr w:rsidR="00561BE6" w:rsidRPr="00273407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561BE6" w:rsidRPr="00273407">
                    <w:trPr>
                      <w:jc w:val="center"/>
                    </w:trPr>
                    <w:tc>
                      <w:tcPr>
                        <w:tcW w:w="4080" w:type="dxa"/>
                        <w:hideMark/>
                      </w:tcPr>
                      <w:p w:rsidR="00561BE6" w:rsidRPr="00273407" w:rsidRDefault="00561BE6" w:rsidP="00AC4C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на 1 января </w:t>
                        </w:r>
                        <w:r w:rsidR="00922CAA"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2023 </w:t>
                        </w: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01.01.20</w:t>
                  </w:r>
                  <w:r w:rsidR="00CD1280"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922CAA"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34244446</w:t>
                  </w: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trHeight w:val="680"/>
              </w:trPr>
              <w:tc>
                <w:tcPr>
                  <w:tcW w:w="31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61BE6" w:rsidRPr="00273407" w:rsidRDefault="00AF4408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27340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>К</w:t>
                  </w:r>
                  <w:r w:rsidR="00561BE6" w:rsidRPr="0027340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омитет по управлению имуществом администрации </w:t>
                  </w:r>
                  <w:proofErr w:type="spellStart"/>
                  <w:r w:rsidR="00561BE6" w:rsidRPr="0027340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>Нюксенского</w:t>
                  </w:r>
                  <w:proofErr w:type="spellEnd"/>
                  <w:r w:rsidR="00561BE6" w:rsidRPr="0027340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муниципального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040</w:t>
                  </w: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31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Бюджет </w:t>
                  </w:r>
                  <w:proofErr w:type="spellStart"/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Нюксенского</w:t>
                  </w:r>
                  <w:proofErr w:type="spellEnd"/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="00AF4408"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муниципального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c>
                <w:tcPr>
                  <w:tcW w:w="31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vAlign w:val="center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Overlap w:val="never"/>
                    <w:tblW w:w="159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96"/>
                  </w:tblGrid>
                  <w:tr w:rsidR="00561BE6" w:rsidRPr="00273407">
                    <w:trPr>
                      <w:jc w:val="center"/>
                    </w:trPr>
                    <w:tc>
                      <w:tcPr>
                        <w:tcW w:w="1587" w:type="dxa"/>
                        <w:hideMark/>
                      </w:tcPr>
                      <w:p w:rsidR="00561BE6" w:rsidRPr="00273407" w:rsidRDefault="00561BE6" w:rsidP="00AC4C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19636000</w:t>
                        </w:r>
                      </w:p>
                    </w:tc>
                  </w:tr>
                </w:tbl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hidden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561BE6" w:rsidRPr="00273407">
                    <w:tc>
                      <w:tcPr>
                        <w:tcW w:w="6120" w:type="dxa"/>
                        <w:hideMark/>
                      </w:tcPr>
                      <w:p w:rsidR="00561BE6" w:rsidRPr="00273407" w:rsidRDefault="00561BE6" w:rsidP="00AC4C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Период</w:t>
                        </w:r>
                        <w:r w:rsidR="00403415"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ичность: </w:t>
                        </w: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годовая</w:t>
                        </w:r>
                      </w:p>
                    </w:tc>
                  </w:tr>
                </w:tbl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hidden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561BE6" w:rsidRPr="00273407">
                    <w:tc>
                      <w:tcPr>
                        <w:tcW w:w="6120" w:type="dxa"/>
                        <w:hideMark/>
                      </w:tcPr>
                      <w:p w:rsidR="00561BE6" w:rsidRPr="00273407" w:rsidRDefault="00561BE6" w:rsidP="00AC4C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Единица измерения: руб</w:t>
                        </w:r>
                        <w:r w:rsidR="00F95632"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383</w:t>
                  </w:r>
                </w:p>
              </w:tc>
            </w:tr>
          </w:tbl>
          <w:p w:rsidR="00561BE6" w:rsidRPr="00273407" w:rsidRDefault="00561BE6" w:rsidP="00AC4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BE6" w:rsidRPr="00273407" w:rsidRDefault="00561BE6" w:rsidP="00AC4CFC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0" w:name="__bookmark_2"/>
      <w:bookmarkEnd w:id="0"/>
    </w:p>
    <w:tbl>
      <w:tblPr>
        <w:tblOverlap w:val="never"/>
        <w:tblW w:w="9360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561BE6" w:rsidRPr="00273407" w:rsidTr="00561BE6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BE6" w:rsidRPr="00273407" w:rsidRDefault="00561BE6" w:rsidP="00AC4C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E6" w:rsidRPr="00273407" w:rsidTr="00561BE6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BE6" w:rsidRPr="00273407" w:rsidRDefault="00561BE6" w:rsidP="00AC4C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4EA2" w:rsidRPr="00273407" w:rsidRDefault="00D24EA2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 1</w:t>
      </w:r>
      <w:proofErr w:type="gramEnd"/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«ОРГАНИЗАЦИОННАЯ СТРУКТУРА СУБЪЕКТА</w:t>
      </w:r>
      <w:r w:rsidR="00010E6F"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БЮДЖЕТНОЙ ОТЧЕТНОСТИ»</w:t>
      </w:r>
    </w:p>
    <w:p w:rsidR="00EF4376" w:rsidRPr="00273407" w:rsidRDefault="00363D10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EF437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554C77" w:rsidRPr="00273407" w:rsidRDefault="00A259D3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F6A1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4C7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Полное наименование: комитет по управлению имуществом администрации </w:t>
      </w:r>
      <w:proofErr w:type="spellStart"/>
      <w:r w:rsidR="00554C7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Нюксенского</w:t>
      </w:r>
      <w:proofErr w:type="spellEnd"/>
      <w:r w:rsidR="00554C7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554C77" w:rsidRPr="00273407" w:rsidRDefault="00554C77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Сокращенное наименование: комитет по управлению имуществом.</w:t>
      </w:r>
    </w:p>
    <w:p w:rsidR="004B08D3" w:rsidRPr="00273407" w:rsidRDefault="00554C77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местоположения: Вологодская область, село Нюксени</w:t>
      </w:r>
      <w:r w:rsidR="00A72AEA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</w:p>
    <w:p w:rsidR="004B08D3" w:rsidRPr="00273407" w:rsidRDefault="004B08D3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C77" w:rsidRPr="00273407" w:rsidRDefault="00554C77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proofErr w:type="spell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улица Советская, дом 13.</w:t>
      </w:r>
    </w:p>
    <w:p w:rsidR="00A47C86" w:rsidRPr="00273407" w:rsidRDefault="00A47C86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Основный вид деятельности - 84.11.3 Деятельность органов местного самоуправления по управлению вопросами общего характера</w:t>
      </w:r>
    </w:p>
    <w:p w:rsidR="00BF6A19" w:rsidRPr="00273407" w:rsidRDefault="00BF6A19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ЕГРЮЛ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МРИ №10 по Вологодской области 19 декабря 2006 года №1023502694060, присвоен  ИНН 3515001106,   КПП 35150100.</w:t>
      </w:r>
    </w:p>
    <w:p w:rsidR="00BF6A19" w:rsidRPr="00273407" w:rsidRDefault="00742393" w:rsidP="00AC4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Код главного распор</w:t>
      </w:r>
      <w:r w:rsidR="00795F22" w:rsidRPr="00273407">
        <w:rPr>
          <w:rFonts w:ascii="Times New Roman" w:hAnsi="Times New Roman" w:cs="Times New Roman"/>
          <w:sz w:val="28"/>
          <w:szCs w:val="28"/>
        </w:rPr>
        <w:t>ядителя бюджетных средств - 040</w:t>
      </w:r>
    </w:p>
    <w:p w:rsidR="009A5E65" w:rsidRPr="00273407" w:rsidRDefault="00363D10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5A09C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по управлению имуществом</w:t>
      </w:r>
      <w:r w:rsidR="00D24EA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деятельность по управлению, распоряжению и учету муници</w:t>
      </w:r>
      <w:r w:rsidR="00EF437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пального имущества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F437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«</w:t>
      </w:r>
      <w:r w:rsidR="00D24EA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 о комитете по управлению имуществом администрации </w:t>
      </w:r>
      <w:proofErr w:type="spellStart"/>
      <w:r w:rsidR="00D24EA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ксенского</w:t>
      </w:r>
      <w:proofErr w:type="spell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="00D24EA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ведет реестр муниципальной собственности, заключение договоров аренды имущества, аренды земельных </w:t>
      </w:r>
      <w:proofErr w:type="gramStart"/>
      <w:r w:rsidR="00D24EA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участков,  купли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24EA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продажи арендуемого имущества, безвозмездного пользования, бессрочного пользования, оперативного управления. </w:t>
      </w:r>
    </w:p>
    <w:p w:rsidR="00A47C86" w:rsidRPr="00273407" w:rsidRDefault="00A47C86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7C86" w:rsidRPr="00273407" w:rsidRDefault="008364D6" w:rsidP="00AC4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47C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исполнения Постановления администрации </w:t>
      </w:r>
      <w:proofErr w:type="spellStart"/>
      <w:r w:rsidR="00A47C86" w:rsidRPr="00273407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="00A47C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27.06.2018 № 199 «О создании Муниципального казенного учреждения «Межведомственная централизованная бухгалтерия </w:t>
      </w:r>
      <w:proofErr w:type="spellStart"/>
      <w:r w:rsidR="00A47C86" w:rsidRPr="00273407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="00A47C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 заключено Соглашение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</w:t>
      </w:r>
      <w:proofErr w:type="spellStart"/>
      <w:r w:rsidR="00A47C86" w:rsidRPr="00273407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="00A47C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района». Исполнителем составившем бюджетную отчетность является заместитель главного бухгалтера МКУ «Межведомственная централизованная бухгалтерия </w:t>
      </w:r>
      <w:proofErr w:type="spellStart"/>
      <w:r w:rsidR="00A47C86" w:rsidRPr="00273407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="00A47C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мун</w:t>
      </w:r>
      <w:r w:rsidR="008916B0" w:rsidRPr="00273407">
        <w:rPr>
          <w:rFonts w:ascii="Times New Roman" w:hAnsi="Times New Roman" w:cs="Times New Roman"/>
          <w:color w:val="000000"/>
          <w:sz w:val="28"/>
          <w:szCs w:val="28"/>
        </w:rPr>
        <w:t>иципального района» Маркова Н.А.</w:t>
      </w:r>
    </w:p>
    <w:p w:rsidR="00E04A57" w:rsidRPr="00273407" w:rsidRDefault="00A259D3" w:rsidP="00AC4C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24EA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КУМИ является юридическим лицо</w:t>
      </w:r>
      <w:r w:rsidR="00363D1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имеет самостоятельный баланс и лицевые счета, открытые в соответствии с действующим законодательством.</w:t>
      </w:r>
    </w:p>
    <w:p w:rsidR="001517CE" w:rsidRPr="00273407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участников на 01.01. 202</w:t>
      </w:r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г.:</w:t>
      </w:r>
    </w:p>
    <w:p w:rsidR="001517CE" w:rsidRPr="00273407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ГРБС -1;</w:t>
      </w:r>
    </w:p>
    <w:p w:rsidR="001517CE" w:rsidRPr="00273407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Государственные (муниципальные) унитарные предприятия, всего - 2</w:t>
      </w:r>
    </w:p>
    <w:p w:rsidR="001517CE" w:rsidRPr="00273407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МП «</w:t>
      </w:r>
      <w:proofErr w:type="spell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Нюксеницаавтотранс</w:t>
      </w:r>
      <w:proofErr w:type="spell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1517CE" w:rsidRPr="00273407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МП «Водоканал». </w:t>
      </w:r>
    </w:p>
    <w:p w:rsidR="001517CE" w:rsidRPr="00273407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 данных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предприятий выступает Комитет по управлению имуществом, заключены договоры хозяйственного ведения.</w:t>
      </w:r>
    </w:p>
    <w:p w:rsidR="009C3ABB" w:rsidRPr="00273407" w:rsidRDefault="009C3ABB" w:rsidP="00AC4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МП «</w:t>
      </w:r>
      <w:proofErr w:type="spell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Нюксеницаавтотранс</w:t>
      </w:r>
      <w:proofErr w:type="spell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» имеет долю в уставном капитале 100% в виде имущества в сумме 120000,00 руб.</w:t>
      </w:r>
    </w:p>
    <w:p w:rsidR="008364D6" w:rsidRPr="00273407" w:rsidRDefault="008364D6" w:rsidP="00AC4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CE" w:rsidRPr="00273407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17CE" w:rsidRPr="00273407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17CE" w:rsidRPr="00273407" w:rsidRDefault="001517CE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 2</w:t>
      </w:r>
      <w:proofErr w:type="gramEnd"/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«РЕЗУЛЬТАТЫ  ДЕЯТЕЛЬНОСТИ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СУБЪЕКТА БЮДЖЕТНОЙ ОТЧЕТНОСТИ»</w:t>
      </w:r>
    </w:p>
    <w:p w:rsidR="001517CE" w:rsidRPr="00273407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364D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6490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штатному расписанию по состоянию на 01.01.202</w:t>
      </w:r>
      <w:r w:rsidR="00922CAA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утверждена численность 4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человека,  в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ч муниципальных служащих 3 человека, инспектор 1 чел.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организации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фактически на конец года замещено 4 человека.   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364D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6490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922CAA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A47C8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участвовали в семинаре «</w:t>
      </w:r>
      <w:r w:rsidR="00922CAA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Новое в управлении </w:t>
      </w:r>
      <w:proofErr w:type="spellStart"/>
      <w:r w:rsidR="00922CAA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имущественно</w:t>
      </w:r>
      <w:proofErr w:type="spellEnd"/>
      <w:r w:rsidR="00922CAA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-земельного комплекса».</w:t>
      </w:r>
    </w:p>
    <w:p w:rsidR="00A47C86" w:rsidRPr="00273407" w:rsidRDefault="00A47C86" w:rsidP="00A72AEA">
      <w:pPr>
        <w:tabs>
          <w:tab w:val="left" w:pos="84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Style w:val="FontStyle14"/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 xml:space="preserve">       Каждый специалист комитета по управлению </w:t>
      </w:r>
      <w:proofErr w:type="gramStart"/>
      <w:r w:rsidRPr="00273407">
        <w:rPr>
          <w:rStyle w:val="FontStyle14"/>
          <w:rFonts w:ascii="Times New Roman" w:eastAsiaTheme="minorHAnsi" w:hAnsi="Times New Roman" w:cs="Times New Roman"/>
          <w:color w:val="000000" w:themeColor="text1"/>
          <w:sz w:val="28"/>
          <w:szCs w:val="28"/>
        </w:rPr>
        <w:t>имуществом  обеспечен</w:t>
      </w:r>
      <w:proofErr w:type="gramEnd"/>
      <w:r w:rsidRPr="00273407">
        <w:rPr>
          <w:rStyle w:val="FontStyle1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компьютером, доступом к сети Интернет, а также необходимыми материальными запасами для выполнения своих функций.</w:t>
      </w:r>
      <w:r w:rsidR="00867DD4" w:rsidRPr="00273407">
        <w:rPr>
          <w:rFonts w:ascii="Times New Roman" w:hAnsi="Times New Roman" w:cs="Times New Roman"/>
          <w:sz w:val="28"/>
          <w:szCs w:val="28"/>
        </w:rPr>
        <w:t xml:space="preserve"> Мероприятия по сохранности имущества проводятся путем закрепления имущества за материально – ответственными лицами и прове</w:t>
      </w:r>
      <w:r w:rsidR="00CB2948" w:rsidRPr="00273407">
        <w:rPr>
          <w:rFonts w:ascii="Times New Roman" w:hAnsi="Times New Roman" w:cs="Times New Roman"/>
          <w:sz w:val="28"/>
          <w:szCs w:val="28"/>
        </w:rPr>
        <w:t>дением инвентаризации</w:t>
      </w:r>
      <w:r w:rsidR="0096490E" w:rsidRPr="00273407">
        <w:rPr>
          <w:rFonts w:ascii="Times New Roman" w:hAnsi="Times New Roman" w:cs="Times New Roman"/>
          <w:sz w:val="28"/>
          <w:szCs w:val="28"/>
        </w:rPr>
        <w:t xml:space="preserve"> имущества. Имущество используется по прямому назначению для текущей деятельности, изношенность основных средств составляет 100%.</w:t>
      </w:r>
    </w:p>
    <w:p w:rsidR="001517CE" w:rsidRPr="00273407" w:rsidRDefault="00A72AEA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517C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01.01.202</w:t>
      </w:r>
      <w:r w:rsidR="004E6A5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517C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31.12.202</w:t>
      </w:r>
      <w:r w:rsidR="004E6A5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517C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подготовлено</w:t>
      </w:r>
      <w:r w:rsidR="00D574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352 распоряжения, их </w:t>
      </w:r>
      <w:proofErr w:type="gramStart"/>
      <w:r w:rsidR="00D574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них </w:t>
      </w:r>
      <w:r w:rsidR="001517C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A5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278</w:t>
      </w:r>
      <w:proofErr w:type="gramEnd"/>
      <w:r w:rsidR="001517C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</w:t>
      </w:r>
      <w:r w:rsidR="004E6A5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1517C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 основной деятельности,</w:t>
      </w:r>
      <w:r w:rsidR="00D574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A5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="00D574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A5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личному составу.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связи с </w:t>
      </w:r>
      <w:r w:rsidR="0056285C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Территориального управления Федерального агентства по управлению государственным имуществом в Во</w:t>
      </w:r>
      <w:r w:rsidR="00DC2B2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логодской области принят</w:t>
      </w:r>
      <w:r w:rsidR="00E84E21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казну квартира</w:t>
      </w:r>
      <w:r w:rsidR="0056285C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56285C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с.Нюксеница</w:t>
      </w:r>
      <w:proofErr w:type="spellEnd"/>
      <w:r w:rsidR="0056285C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6285C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ул.Школьная</w:t>
      </w:r>
      <w:proofErr w:type="spellEnd"/>
      <w:r w:rsidR="0056285C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д.5 кв.3 </w:t>
      </w:r>
    </w:p>
    <w:p w:rsidR="007747C2" w:rsidRPr="00273407" w:rsidRDefault="007747C2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На основании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договоров  пожертвования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«Газпром </w:t>
      </w:r>
      <w:proofErr w:type="spell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</w:t>
      </w:r>
      <w:proofErr w:type="spell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АО «Газпром»  принято в  казну района    имущество канализационные и водоочистные сооружения (КОС и ВОС) в </w:t>
      </w:r>
      <w:proofErr w:type="spell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с.Нюксеница</w:t>
      </w:r>
      <w:proofErr w:type="spellEnd"/>
      <w:r w:rsidR="00BD319D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B2DC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E422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договору пожертвования ООО «Газпром </w:t>
      </w:r>
      <w:proofErr w:type="spellStart"/>
      <w:r w:rsidR="00AE422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трансгаз</w:t>
      </w:r>
      <w:proofErr w:type="spellEnd"/>
      <w:r w:rsidR="00AE422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Ухта» сооружение «</w:t>
      </w:r>
      <w:proofErr w:type="spellStart"/>
      <w:r w:rsidR="00AE422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Наружние</w:t>
      </w:r>
      <w:proofErr w:type="spellEnd"/>
      <w:r w:rsidR="00AE422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 дождевой канализации  2 пусковой комплекс  24 кв.</w:t>
      </w:r>
      <w:r w:rsidR="00DC2B2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22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жилой дом»</w:t>
      </w:r>
      <w:r w:rsidR="003A1C7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1C72" w:rsidRPr="00273407" w:rsidRDefault="003A1C72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 связи с </w:t>
      </w:r>
      <w:r w:rsidR="00D07FB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Программой «</w:t>
      </w:r>
      <w:proofErr w:type="gramStart"/>
      <w:r w:rsidR="00D07FB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Переселение  граждан</w:t>
      </w:r>
      <w:proofErr w:type="gramEnd"/>
      <w:r w:rsidR="00D07FB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ветхого аварийного жилья»  принято в казну района жилые помещения по адресу:  г.</w:t>
      </w:r>
      <w:r w:rsidR="00E57A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7FB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Вологда ул. Можайского д.68 кв</w:t>
      </w:r>
      <w:r w:rsidR="00DC2B2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07FB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28,</w:t>
      </w:r>
      <w:r w:rsidR="007758EB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7A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58EB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.Вологда ул. Железнодорожная,д.116-б, кв.33</w:t>
      </w:r>
      <w:r w:rsidR="00E629D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B4B4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E57A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B4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Вологда, ул.</w:t>
      </w:r>
      <w:r w:rsidR="00E57A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B4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Западная</w:t>
      </w:r>
      <w:r w:rsidR="00E57A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B4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57A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B4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кв.2, г</w:t>
      </w:r>
      <w:r w:rsidR="00E57A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B4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.Вологда ул.</w:t>
      </w:r>
      <w:r w:rsidR="00E57A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B4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Панкратова д.73 а кв.15, с.</w:t>
      </w:r>
      <w:r w:rsidR="00E57A6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B4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Нюксеница ул. Культуры д.5 кв.29</w:t>
      </w:r>
      <w:r w:rsidR="00E9106F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г.</w:t>
      </w:r>
      <w:r w:rsidR="0025764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DC2B2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64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Вологда </w:t>
      </w:r>
      <w:r w:rsidR="00884D6D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</w:t>
      </w:r>
      <w:r w:rsidR="0025764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4D6D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Строителей. 18-б кв.2.</w:t>
      </w:r>
      <w:r w:rsidR="0025764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Данные квартиры предоставлены гражданам по договорам мены.</w:t>
      </w:r>
    </w:p>
    <w:p w:rsidR="00D07FB7" w:rsidRPr="00273407" w:rsidRDefault="00D07FB7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8F7A47" w:rsidRPr="00273407" w:rsidRDefault="001517CE" w:rsidP="00AC4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273407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gramStart"/>
      <w:r w:rsidR="00FD3A41" w:rsidRPr="00273407">
        <w:rPr>
          <w:rFonts w:ascii="Times New Roman" w:hAnsi="Times New Roman" w:cs="Times New Roman"/>
          <w:sz w:val="28"/>
          <w:szCs w:val="28"/>
        </w:rPr>
        <w:t>приватизацией  исключены</w:t>
      </w:r>
      <w:proofErr w:type="gramEnd"/>
      <w:r w:rsidR="00FD3A41" w:rsidRPr="00273407">
        <w:rPr>
          <w:rFonts w:ascii="Times New Roman" w:hAnsi="Times New Roman" w:cs="Times New Roman"/>
          <w:sz w:val="28"/>
          <w:szCs w:val="28"/>
        </w:rPr>
        <w:t xml:space="preserve"> из казны жилое помещение   с. Нюксеница, ул. Новая,д.5 кв.2.</w:t>
      </w:r>
      <w:r w:rsidR="00951A71" w:rsidRPr="00273407">
        <w:rPr>
          <w:rFonts w:ascii="Times New Roman" w:hAnsi="Times New Roman" w:cs="Times New Roman"/>
          <w:sz w:val="28"/>
          <w:szCs w:val="28"/>
        </w:rPr>
        <w:t>, ул.</w:t>
      </w:r>
      <w:r w:rsidR="00C331CA" w:rsidRPr="00273407">
        <w:rPr>
          <w:rFonts w:ascii="Times New Roman" w:hAnsi="Times New Roman" w:cs="Times New Roman"/>
          <w:sz w:val="28"/>
          <w:szCs w:val="28"/>
        </w:rPr>
        <w:t xml:space="preserve"> </w:t>
      </w:r>
      <w:r w:rsidR="00951A71" w:rsidRPr="00273407">
        <w:rPr>
          <w:rFonts w:ascii="Times New Roman" w:hAnsi="Times New Roman" w:cs="Times New Roman"/>
          <w:sz w:val="28"/>
          <w:szCs w:val="28"/>
        </w:rPr>
        <w:t>Южная д.5 кв.2</w:t>
      </w:r>
      <w:r w:rsidR="007E7870" w:rsidRPr="00273407">
        <w:rPr>
          <w:rFonts w:ascii="Times New Roman" w:hAnsi="Times New Roman" w:cs="Times New Roman"/>
          <w:sz w:val="28"/>
          <w:szCs w:val="28"/>
        </w:rPr>
        <w:t>, ул.Культурыд.22 кв.15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84E21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  с нормативно-правовыми документами внесены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 по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изменению категории  и вида разрешенного использования   в отношении  </w:t>
      </w:r>
      <w:r w:rsidR="00455AFF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участков.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84E21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Выполнены комплексные кадастровые работы в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отношении  3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-х кварталов  </w:t>
      </w:r>
      <w:proofErr w:type="spell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с.Нюксеница</w:t>
      </w:r>
      <w:proofErr w:type="spell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которым заключены  контракты: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ГК «</w:t>
      </w:r>
      <w:proofErr w:type="gramStart"/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Измерение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контракт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1.0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на сумму  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71183,27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рублей;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-ООО «Нева-Инжиниринг», контракт   от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года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 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148000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рублей;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ИП Зыков Е.В.. контракт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17.03.2022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сумму  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114846,47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Денежные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 в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сумме   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334029,74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рублей, в т. ч. 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предоставленные  в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 субсидии  из областного бюджета </w:t>
      </w:r>
      <w:proofErr w:type="spell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Нюксенскому</w:t>
      </w:r>
      <w:proofErr w:type="spell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муниципальному району  в сумме  </w:t>
      </w:r>
      <w:r w:rsidR="0034745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283638,60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и  </w:t>
      </w:r>
      <w:proofErr w:type="spell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CF2012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50391,14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 -  средства  районного бюджета  освоены в полном объеме.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В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  выполнения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комплексных кадастровых работ   включены в карты-планы территории по данным кадастровым кварталам </w:t>
      </w:r>
      <w:r w:rsidR="00C55268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476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</w:t>
      </w:r>
      <w:r w:rsidR="00647F0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по которым   в соответствии с законодательством  будет  внесение   сведений в ЕГРН</w:t>
      </w:r>
      <w:r w:rsidR="00E84E21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1517CE" w:rsidRPr="00273407" w:rsidRDefault="00E84E21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517C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части </w:t>
      </w:r>
      <w:proofErr w:type="gramStart"/>
      <w:r w:rsidR="001517C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  новых</w:t>
      </w:r>
      <w:proofErr w:type="gramEnd"/>
      <w:r w:rsidR="001517CE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участков, а также предоставленных ранее: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Утверждены схемы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расположения  по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468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</w:t>
      </w:r>
      <w:r w:rsidR="00F8044A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ым 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F8044A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</w:t>
      </w:r>
      <w:r w:rsidR="003D1A6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земельных  участков поставлены на кадастровый учет. 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выданы разрешения на использование земель без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 земельного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участка и установления сервитута  по </w:t>
      </w:r>
      <w:r w:rsidR="003D1A6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земельным участкам</w:t>
      </w:r>
      <w:r w:rsidR="003D1A6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принято решение по смене разрешенного использования в отношении </w:t>
      </w:r>
      <w:r w:rsidR="003D1A6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участков,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изменена категория земельного участка в отношении </w:t>
      </w:r>
      <w:r w:rsidR="003D1A6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участков,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обеспечение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доступа  -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639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участка;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-прекращено право постоянного (бессрочного)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пользования  на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1A6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участков;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-установлен публичный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сервитут  в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отношении </w:t>
      </w:r>
      <w:r w:rsidR="003D1A6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</w:t>
      </w:r>
      <w:r w:rsidR="003D1A67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участков;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-предоставлено в аренду – </w:t>
      </w:r>
      <w:r w:rsidR="0047096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участка;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поставлено на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 на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получение земельного участка как многодетные семьи- 15;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снято  с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учета  в связи с получением  ЕДВ – </w:t>
      </w:r>
      <w:r w:rsidR="00E21FC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многодетных семьи;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проведено </w:t>
      </w:r>
      <w:proofErr w:type="gramStart"/>
      <w:r w:rsidR="00AD2A4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аукциона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</w:t>
      </w:r>
      <w:r w:rsidR="00AD2A4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 по предоставлению  в аренду  - </w:t>
      </w:r>
      <w:r w:rsidR="00AD2A4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 ( ИЖС, г</w:t>
      </w:r>
      <w:r w:rsidR="00DC2B2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аражное строительство и прочее)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1-  по продаже </w:t>
      </w:r>
      <w:r w:rsidR="00AD2A4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земельн</w:t>
      </w:r>
      <w:r w:rsidR="00AD2A4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участк</w:t>
      </w:r>
      <w:r w:rsidR="00AD2A4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собственность ( по 2-м земельным участкам  аукцион не состоялся ввиду отсутствия заявок).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По оформлению права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  на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земельные участки  заключено   </w:t>
      </w:r>
      <w:r w:rsidR="009F033A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договоров  купли-продажи земельных участков  с собственниками  жилых домов, что в значительной мере повлияло на оформление права собственности на объекты недвижимости и сдачу в эксплуатацию индивидуальных  жилых домов.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 с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законом  Вологодской области  №3627-ОЗ  «О бесплатном предоставлении  в собственность отдельным категориям граждан земельных участков»        с начала 202</w:t>
      </w:r>
      <w:r w:rsidR="005670F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года  взамен   земельного участка  произведена выплата денежной компенсацией  (земельный сертификат) в размере 223 400,00 рублей на </w:t>
      </w:r>
      <w:r w:rsidR="005670F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</w:t>
      </w:r>
      <w:r w:rsidR="005670F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1273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70F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одну семью в сумме 122</w:t>
      </w:r>
      <w:r w:rsidR="0041273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636,00 рублей</w:t>
      </w:r>
      <w:r w:rsidR="00DC2B2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670F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 предоставлены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району в виде субвенции  из областного бюджета в количестве </w:t>
      </w:r>
      <w:r w:rsidR="00412739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сертификатов. 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Получена  ЕДВ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 </w:t>
      </w:r>
      <w:r w:rsidR="00AC28C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многодетных семей  в сумме   </w:t>
      </w:r>
      <w:r w:rsidR="00AC28C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1016235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рублей.</w:t>
      </w:r>
      <w:r w:rsidR="00AC28C0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Кроме этого 5 многодетных семей получили в 2022 году земельные участки.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17CE" w:rsidRPr="00273407" w:rsidRDefault="001517CE" w:rsidP="006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lastRenderedPageBreak/>
        <w:t xml:space="preserve">      </w:t>
      </w:r>
    </w:p>
    <w:p w:rsidR="001517CE" w:rsidRPr="00273407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1517CE" w:rsidRPr="00273407" w:rsidRDefault="001517CE" w:rsidP="00AC4CFC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    По проведению </w:t>
      </w:r>
      <w:proofErr w:type="spellStart"/>
      <w:r w:rsidRPr="00273407">
        <w:rPr>
          <w:rFonts w:ascii="Times New Roman" w:hAnsi="Times New Roman"/>
          <w:color w:val="000000" w:themeColor="text1"/>
          <w:sz w:val="28"/>
          <w:szCs w:val="28"/>
        </w:rPr>
        <w:t>претензионно</w:t>
      </w:r>
      <w:proofErr w:type="spellEnd"/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-исковой работы с </w:t>
      </w:r>
      <w:proofErr w:type="gramStart"/>
      <w:r w:rsidRPr="00273407">
        <w:rPr>
          <w:rFonts w:ascii="Times New Roman" w:hAnsi="Times New Roman"/>
          <w:color w:val="000000" w:themeColor="text1"/>
          <w:sz w:val="28"/>
          <w:szCs w:val="28"/>
        </w:rPr>
        <w:t>должниками  за</w:t>
      </w:r>
      <w:proofErr w:type="gramEnd"/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.202</w:t>
      </w:r>
      <w:r w:rsidR="00946549" w:rsidRPr="0027340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год  направлено претензий  по взысканию задолженности  по оплате за социальный </w:t>
      </w:r>
      <w:proofErr w:type="spellStart"/>
      <w:r w:rsidRPr="00273407">
        <w:rPr>
          <w:rFonts w:ascii="Times New Roman" w:hAnsi="Times New Roman"/>
          <w:color w:val="000000" w:themeColor="text1"/>
          <w:sz w:val="28"/>
          <w:szCs w:val="28"/>
        </w:rPr>
        <w:t>найм</w:t>
      </w:r>
      <w:proofErr w:type="spellEnd"/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29F6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7B29F6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  на сумму  </w:t>
      </w:r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>611181,85</w:t>
      </w:r>
      <w:r w:rsidR="007B29F6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рублей, из них  выдано судебных приказов - </w:t>
      </w:r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на сумму </w:t>
      </w:r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>98325,87</w:t>
      </w:r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>, заявлений о возбуждении  исполнительного  производства  18 на сумму 312875,36 рублей.</w:t>
      </w:r>
    </w:p>
    <w:p w:rsidR="003965AC" w:rsidRPr="00273407" w:rsidRDefault="003965AC" w:rsidP="00AC4CFC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73407">
        <w:rPr>
          <w:rFonts w:ascii="Times New Roman" w:hAnsi="Times New Roman"/>
          <w:color w:val="000000" w:themeColor="text1"/>
          <w:sz w:val="28"/>
          <w:szCs w:val="28"/>
        </w:rPr>
        <w:t>( Фирсова</w:t>
      </w:r>
      <w:proofErr w:type="gramEnd"/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В.Л.  в сумме 22523,68 рублей, в </w:t>
      </w:r>
      <w:proofErr w:type="gramStart"/>
      <w:r w:rsidRPr="00273407">
        <w:rPr>
          <w:rFonts w:ascii="Times New Roman" w:hAnsi="Times New Roman"/>
          <w:color w:val="000000" w:themeColor="text1"/>
          <w:sz w:val="28"/>
          <w:szCs w:val="28"/>
        </w:rPr>
        <w:t>сумме  Власова</w:t>
      </w:r>
      <w:proofErr w:type="gramEnd"/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Л.С. 28876,37 рублей, </w:t>
      </w:r>
      <w:proofErr w:type="spellStart"/>
      <w:r w:rsidRPr="00273407">
        <w:rPr>
          <w:rFonts w:ascii="Times New Roman" w:hAnsi="Times New Roman"/>
          <w:color w:val="000000" w:themeColor="text1"/>
          <w:sz w:val="28"/>
          <w:szCs w:val="28"/>
        </w:rPr>
        <w:t>Полутов</w:t>
      </w:r>
      <w:proofErr w:type="spellEnd"/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Н.В. в сумме 19066,88 рублей, Богословский Г.А. в сумме 23829,30 рублей)</w:t>
      </w:r>
    </w:p>
    <w:p w:rsidR="001517CE" w:rsidRPr="00273407" w:rsidRDefault="001517CE" w:rsidP="00AC4CFC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      По аренде земельных участков –</w:t>
      </w:r>
      <w:r w:rsidR="007B29F6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B29F6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претензи</w:t>
      </w:r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B29F6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gramStart"/>
      <w:r w:rsidR="007B29F6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сумму  </w:t>
      </w:r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>485360</w:t>
      </w:r>
      <w:proofErr w:type="gramEnd"/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>,30</w:t>
      </w:r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 рублей</w:t>
      </w:r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, заявлений  на выдачу судебных приказов 3 на сумму 139687,44,  заявлений о возбуждении  исполнительного  производства  1 на сумму </w:t>
      </w:r>
      <w:r w:rsidR="00826903" w:rsidRPr="00273407">
        <w:rPr>
          <w:rFonts w:ascii="Times New Roman" w:hAnsi="Times New Roman"/>
          <w:color w:val="000000" w:themeColor="text1"/>
          <w:sz w:val="28"/>
          <w:szCs w:val="28"/>
        </w:rPr>
        <w:t>151965,00</w:t>
      </w:r>
      <w:r w:rsidR="008A7C37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( </w:t>
      </w:r>
      <w:r w:rsidR="00BC3FEA" w:rsidRPr="00273407">
        <w:rPr>
          <w:rFonts w:ascii="Times New Roman" w:hAnsi="Times New Roman"/>
          <w:color w:val="000000" w:themeColor="text1"/>
          <w:sz w:val="28"/>
          <w:szCs w:val="28"/>
        </w:rPr>
        <w:t>Чупрова Е.</w:t>
      </w:r>
      <w:r w:rsidR="003965AC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С  95390,14  рублей,  Шпынева Л.А. в сумме 7997,29 рублей,  </w:t>
      </w:r>
      <w:proofErr w:type="spellStart"/>
      <w:r w:rsidR="003965AC" w:rsidRPr="00273407">
        <w:rPr>
          <w:rFonts w:ascii="Times New Roman" w:hAnsi="Times New Roman"/>
          <w:color w:val="000000" w:themeColor="text1"/>
          <w:sz w:val="28"/>
          <w:szCs w:val="28"/>
        </w:rPr>
        <w:t>Чежин</w:t>
      </w:r>
      <w:proofErr w:type="spellEnd"/>
      <w:r w:rsidR="003965AC" w:rsidRPr="00273407">
        <w:rPr>
          <w:rFonts w:ascii="Times New Roman" w:hAnsi="Times New Roman"/>
          <w:color w:val="000000" w:themeColor="text1"/>
          <w:sz w:val="28"/>
          <w:szCs w:val="28"/>
        </w:rPr>
        <w:t xml:space="preserve"> С.А. в сумме 36300,03 рублей, Попова Е.А. в сумме 2380,88 рублей,)   </w:t>
      </w:r>
      <w:r w:rsidR="007B29F6" w:rsidRPr="00273407">
        <w:rPr>
          <w:rFonts w:ascii="Times New Roman" w:hAnsi="Times New Roman"/>
          <w:color w:val="000000" w:themeColor="text1"/>
          <w:sz w:val="28"/>
          <w:szCs w:val="28"/>
        </w:rPr>
        <w:t>также Белозеров П.А.  по решению Кировского суда о взыскании задолженности по договору аренды невозможная к взысканию в сумме 127700,75 рублей</w:t>
      </w:r>
    </w:p>
    <w:p w:rsidR="008364D6" w:rsidRPr="00273407" w:rsidRDefault="008364D6" w:rsidP="00AC4CFC">
      <w:pPr>
        <w:pStyle w:val="a9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8364D6" w:rsidRPr="00273407" w:rsidRDefault="008364D6" w:rsidP="00AC4CFC">
      <w:pPr>
        <w:pStyle w:val="a9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FF0DA2" w:rsidRPr="00273407" w:rsidRDefault="00FF0DA2" w:rsidP="00FF0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«Совершенствование системы управления и распоряжения земельно-имущественным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комплексом  района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на 2021-2025 годы»</w:t>
      </w:r>
    </w:p>
    <w:p w:rsidR="00FF0DA2" w:rsidRPr="00273407" w:rsidRDefault="00FF0DA2" w:rsidP="00FF0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и распоряжения имуществом, находящимся в муниципальной собственности муниципального района, и земельными участками на территории муниципального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района  является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важной стратегической целью проведения политики администрации муниципального района в сфере </w:t>
      </w:r>
      <w:proofErr w:type="spellStart"/>
      <w:r w:rsidRPr="00273407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273407">
        <w:rPr>
          <w:rFonts w:ascii="Times New Roman" w:hAnsi="Times New Roman" w:cs="Times New Roman"/>
          <w:sz w:val="28"/>
          <w:szCs w:val="28"/>
        </w:rPr>
        <w:t>-земельных отношений для обеспечения устойчивого социально-экономического развития района.</w:t>
      </w:r>
    </w:p>
    <w:p w:rsidR="00FF0DA2" w:rsidRPr="00273407" w:rsidRDefault="00FF0DA2" w:rsidP="00FF0D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Муниципальная политика по управлению муниципальным имуществом, в развитие которой положена настоящая муниципальная программа,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FF0DA2" w:rsidRPr="00273407" w:rsidRDefault="00FF0DA2" w:rsidP="00FF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Муниципальная программа определяет основные цели:</w:t>
      </w:r>
    </w:p>
    <w:p w:rsidR="00FF0DA2" w:rsidRPr="00273407" w:rsidRDefault="00FF0DA2" w:rsidP="00FF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DA2" w:rsidRPr="00273407" w:rsidRDefault="00FF0DA2" w:rsidP="00FF0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- повышение эффективности управления, распоряжения и использования имущества муниципального района и земельных ресурсов, находящихся в муниципальной собственности и на территории муниципального района;</w:t>
      </w:r>
    </w:p>
    <w:p w:rsidR="00FF0DA2" w:rsidRPr="00273407" w:rsidRDefault="00FF0DA2" w:rsidP="00FF0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- стимулирование развития малого и среднего бизнеса на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территории  района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за счет использования имущественного потенциала </w:t>
      </w:r>
      <w:proofErr w:type="spellStart"/>
      <w:r w:rsidRPr="00273407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73407">
        <w:rPr>
          <w:rFonts w:ascii="Times New Roman" w:hAnsi="Times New Roman" w:cs="Times New Roman"/>
          <w:sz w:val="28"/>
          <w:szCs w:val="28"/>
        </w:rPr>
        <w:t xml:space="preserve"> муниципального района .</w:t>
      </w:r>
    </w:p>
    <w:p w:rsidR="00FF0DA2" w:rsidRPr="00273407" w:rsidRDefault="00FF0DA2" w:rsidP="00FF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lastRenderedPageBreak/>
        <w:t>Выполнение поставленных целей обусловлено успешным решением следующих задач:</w:t>
      </w:r>
    </w:p>
    <w:p w:rsidR="00FF0DA2" w:rsidRPr="00273407" w:rsidRDefault="00FF0DA2" w:rsidP="00FF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DA2" w:rsidRPr="00273407" w:rsidRDefault="00FF0DA2" w:rsidP="00FF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1. Совершенствование системы учета объектов муниципальной собственности в казне и реестре имущества муниципального района.</w:t>
      </w:r>
    </w:p>
    <w:p w:rsidR="00FF0DA2" w:rsidRPr="00273407" w:rsidRDefault="00FF0DA2" w:rsidP="00FF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2. Обеспечение поступления налоговых и неналоговых доходов в бюджет муниципального района.</w:t>
      </w:r>
    </w:p>
    <w:p w:rsidR="00FF0DA2" w:rsidRPr="00273407" w:rsidRDefault="00FF0DA2" w:rsidP="00FF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3. Обеспечение рационального и эффективного использования земель, находящихся в муниципальной собственности района и на территории </w:t>
      </w:r>
      <w:proofErr w:type="spellStart"/>
      <w:r w:rsidRPr="00273407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7340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F0DA2" w:rsidRPr="00273407" w:rsidRDefault="00FF0DA2" w:rsidP="00FF0D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4.Увеличение количества муниципального имущества района, в перечне имущества, предназначенного для предоставления субъектам МСП (далее - Перечень).</w:t>
      </w:r>
    </w:p>
    <w:p w:rsidR="00FF0DA2" w:rsidRPr="00273407" w:rsidRDefault="00FF0DA2" w:rsidP="00FF0D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5. Увеличение количества имущества, предоставляемого субъекта МСП в долгосрочное владение (пользование) на основании договоров из Перечня.</w:t>
      </w:r>
    </w:p>
    <w:p w:rsidR="004936C4" w:rsidRPr="00273407" w:rsidRDefault="004936C4" w:rsidP="00FF0D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0DA2" w:rsidRPr="00273407" w:rsidRDefault="00FF0DA2" w:rsidP="00FF0DA2">
      <w:pPr>
        <w:tabs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      Основные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мероприятия  муниципальной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программы :</w:t>
      </w:r>
    </w:p>
    <w:p w:rsidR="00FF0DA2" w:rsidRPr="00273407" w:rsidRDefault="00FF0DA2" w:rsidP="00FF0DA2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деятельности  комитета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по управлению имуществом администрации  </w:t>
      </w:r>
      <w:proofErr w:type="spellStart"/>
      <w:r w:rsidRPr="00273407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734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F0DA2" w:rsidRPr="00273407" w:rsidRDefault="00FF0DA2" w:rsidP="00FF0DA2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2. Содержание имущества, находящегося в муниципальной собственности района </w:t>
      </w:r>
    </w:p>
    <w:p w:rsidR="00FF0DA2" w:rsidRPr="00273407" w:rsidRDefault="00FF0DA2" w:rsidP="00FF0DA2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3. Комплекс работ в области управления земельными ресурсами района</w:t>
      </w:r>
    </w:p>
    <w:p w:rsidR="00FF0DA2" w:rsidRPr="00273407" w:rsidRDefault="00FF0DA2" w:rsidP="00FF0DA2">
      <w:pPr>
        <w:pStyle w:val="af1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0DA2" w:rsidRPr="00273407" w:rsidRDefault="00FF0DA2" w:rsidP="00FF0DA2">
      <w:pPr>
        <w:pStyle w:val="af1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позволит к 2025 году достичь следующих результатов: </w:t>
      </w:r>
    </w:p>
    <w:p w:rsidR="00FF0DA2" w:rsidRPr="00273407" w:rsidRDefault="00FF0DA2" w:rsidP="00FF0DA2">
      <w:pPr>
        <w:pStyle w:val="af1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0DA2" w:rsidRPr="00273407" w:rsidRDefault="00FF0DA2" w:rsidP="00FF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- оформление государственной регистрации прав на все муниципальные объекты недвижимости, в том числе на земельные участки - 100% к 2025 году;</w:t>
      </w:r>
    </w:p>
    <w:p w:rsidR="00FF0DA2" w:rsidRPr="00273407" w:rsidRDefault="00FF0DA2" w:rsidP="00FF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- внесение полной информации об объектах муниципального имущества муниципального района в Реестр муниципального имущества - 100 % к 2025 году;</w:t>
      </w:r>
    </w:p>
    <w:p w:rsidR="00FF0DA2" w:rsidRPr="00273407" w:rsidRDefault="00FF0DA2" w:rsidP="00FF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- повышение поступления доходов от аренды недвижимого имущества (здания, помещения, строения, сооружения) к 2025 году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на  45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>,0 тыс. руб.;</w:t>
      </w:r>
    </w:p>
    <w:p w:rsidR="00FF0DA2" w:rsidRPr="00273407" w:rsidRDefault="00FF0DA2" w:rsidP="00FF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- повышение доходов от аренды муниципальных земельных участков к 2025 года на 116,0 тыс. руб.;</w:t>
      </w:r>
    </w:p>
    <w:p w:rsidR="00FF0DA2" w:rsidRPr="00273407" w:rsidRDefault="00FF0DA2" w:rsidP="00FF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- постановка на кадастровый учет земельных участков под многоквартирными домами к 2025 году – 20 ед.</w:t>
      </w:r>
    </w:p>
    <w:p w:rsidR="00FF0DA2" w:rsidRPr="00273407" w:rsidRDefault="00FF0DA2" w:rsidP="00FF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- ежегодное увеличение не менее чем на 10% количества объектов имущества в Перечнях муниципального имущества;</w:t>
      </w:r>
    </w:p>
    <w:p w:rsidR="00FF0DA2" w:rsidRPr="00273407" w:rsidRDefault="00FF0DA2" w:rsidP="00FF0DA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- доля заключенных договоров аренды по отношению к общему количеству имущества в Перечне – 98% к 2025 году.</w:t>
      </w:r>
    </w:p>
    <w:p w:rsidR="00FF0DA2" w:rsidRPr="00273407" w:rsidRDefault="00FF0DA2" w:rsidP="00FF0D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DA2" w:rsidRPr="00273407" w:rsidRDefault="00FF0DA2" w:rsidP="00FF0D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муниципальной программы на 2021– 2025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годы  составит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33485,2 тысяч руб</w:t>
      </w:r>
      <w:r w:rsidR="004936C4" w:rsidRPr="00273407">
        <w:rPr>
          <w:rFonts w:ascii="Times New Roman" w:hAnsi="Times New Roman" w:cs="Times New Roman"/>
          <w:sz w:val="28"/>
          <w:szCs w:val="28"/>
        </w:rPr>
        <w:t>.</w:t>
      </w:r>
      <w:r w:rsidRPr="00273407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FF0DA2" w:rsidRPr="00273407" w:rsidRDefault="00FF0DA2" w:rsidP="00FF0D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2021 год – 11171,9 тыс. руб.</w:t>
      </w:r>
    </w:p>
    <w:p w:rsidR="00FF0DA2" w:rsidRPr="00273407" w:rsidRDefault="00FF0DA2" w:rsidP="00FF0D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2022 год – 8015,5 тыс. руб</w:t>
      </w:r>
      <w:r w:rsidR="004936C4" w:rsidRPr="00273407">
        <w:rPr>
          <w:rFonts w:ascii="Times New Roman" w:hAnsi="Times New Roman" w:cs="Times New Roman"/>
          <w:sz w:val="28"/>
          <w:szCs w:val="28"/>
        </w:rPr>
        <w:t>.</w:t>
      </w:r>
    </w:p>
    <w:p w:rsidR="00FF0DA2" w:rsidRPr="00273407" w:rsidRDefault="004936C4" w:rsidP="00FF0D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2023 год -  7110,3 тыс. руб.</w:t>
      </w:r>
    </w:p>
    <w:p w:rsidR="00FF0DA2" w:rsidRPr="00273407" w:rsidRDefault="00FF0DA2" w:rsidP="00FF0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        2024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7187,5 тыс. руб.</w:t>
      </w:r>
    </w:p>
    <w:p w:rsidR="00FF0DA2" w:rsidRPr="00273407" w:rsidRDefault="00FF0DA2" w:rsidP="00FF0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0DA2" w:rsidRPr="00273407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     Ресурсное обеспечение муниципальной программы носит прогнозный </w:t>
      </w:r>
      <w:r w:rsidRPr="00273407">
        <w:rPr>
          <w:rFonts w:ascii="Times New Roman" w:hAnsi="Times New Roman" w:cs="Times New Roman"/>
          <w:sz w:val="28"/>
          <w:szCs w:val="28"/>
        </w:rPr>
        <w:t xml:space="preserve">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 </w:t>
      </w:r>
    </w:p>
    <w:p w:rsidR="00FF0DA2" w:rsidRPr="00273407" w:rsidRDefault="00FF0DA2" w:rsidP="00FF0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    Фактические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расходы  за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2022 год  составили 7500,7 тыс.</w:t>
      </w:r>
      <w:r w:rsidR="004936C4" w:rsidRPr="00273407">
        <w:rPr>
          <w:rFonts w:ascii="Times New Roman" w:hAnsi="Times New Roman" w:cs="Times New Roman"/>
          <w:sz w:val="28"/>
          <w:szCs w:val="28"/>
        </w:rPr>
        <w:t xml:space="preserve"> </w:t>
      </w:r>
      <w:r w:rsidRPr="00273407">
        <w:rPr>
          <w:rFonts w:ascii="Times New Roman" w:hAnsi="Times New Roman" w:cs="Times New Roman"/>
          <w:sz w:val="28"/>
          <w:szCs w:val="28"/>
        </w:rPr>
        <w:t>руб</w:t>
      </w:r>
      <w:r w:rsidR="004936C4" w:rsidRPr="00273407">
        <w:rPr>
          <w:rFonts w:ascii="Times New Roman" w:hAnsi="Times New Roman" w:cs="Times New Roman"/>
          <w:sz w:val="28"/>
          <w:szCs w:val="28"/>
        </w:rPr>
        <w:t>.</w:t>
      </w:r>
      <w:r w:rsidRPr="00273407">
        <w:rPr>
          <w:rFonts w:ascii="Times New Roman" w:hAnsi="Times New Roman" w:cs="Times New Roman"/>
          <w:sz w:val="28"/>
          <w:szCs w:val="28"/>
        </w:rPr>
        <w:t xml:space="preserve">, что составляет  93,6 % к оценке расходов.  Недовыполнение произошло в связи с отсутствием </w:t>
      </w:r>
      <w:r w:rsidRPr="00273407">
        <w:rPr>
          <w:rFonts w:ascii="Times New Roman" w:hAnsi="Times New Roman" w:cs="Times New Roman"/>
          <w:sz w:val="28"/>
          <w:szCs w:val="28"/>
          <w:lang w:eastAsia="ru-RU"/>
        </w:rPr>
        <w:t xml:space="preserve">аварийных ситуаций по ремонту муниципальных сетей, а </w:t>
      </w:r>
      <w:proofErr w:type="gramStart"/>
      <w:r w:rsidRPr="00273407">
        <w:rPr>
          <w:rFonts w:ascii="Times New Roman" w:hAnsi="Times New Roman" w:cs="Times New Roman"/>
          <w:sz w:val="28"/>
          <w:szCs w:val="28"/>
          <w:lang w:eastAsia="ru-RU"/>
        </w:rPr>
        <w:t>также  экономия</w:t>
      </w:r>
      <w:proofErr w:type="gramEnd"/>
      <w:r w:rsidRPr="00273407">
        <w:rPr>
          <w:rFonts w:ascii="Times New Roman" w:hAnsi="Times New Roman" w:cs="Times New Roman"/>
          <w:sz w:val="28"/>
          <w:szCs w:val="28"/>
          <w:lang w:eastAsia="ru-RU"/>
        </w:rPr>
        <w:t xml:space="preserve">  по контрактам, заключенными по результатам аукциона  Администрацией района.  </w:t>
      </w:r>
      <w:proofErr w:type="gramStart"/>
      <w:r w:rsidRPr="00273407">
        <w:rPr>
          <w:rFonts w:ascii="Times New Roman" w:hAnsi="Times New Roman" w:cs="Times New Roman"/>
          <w:sz w:val="28"/>
          <w:szCs w:val="28"/>
          <w:lang w:eastAsia="ru-RU"/>
        </w:rPr>
        <w:t>Эффективность  использования</w:t>
      </w:r>
      <w:proofErr w:type="gramEnd"/>
      <w:r w:rsidRPr="00273407">
        <w:rPr>
          <w:rFonts w:ascii="Times New Roman" w:hAnsi="Times New Roman" w:cs="Times New Roman"/>
          <w:sz w:val="28"/>
          <w:szCs w:val="28"/>
          <w:lang w:eastAsia="ru-RU"/>
        </w:rPr>
        <w:t xml:space="preserve">  средств бюджета муниципального района составила 0,45.</w:t>
      </w:r>
    </w:p>
    <w:p w:rsidR="00FF0DA2" w:rsidRPr="00273407" w:rsidRDefault="00FF0DA2" w:rsidP="00FF0DA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          Для обеспечения решения задач муниципальной</w:t>
      </w:r>
      <w:r w:rsidRPr="00273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программы  достигнуты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 значения  7 основных показателей  (индикаторов) муниципальной программы.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Степень  достижения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плановых  значений  целевых  показателей составляет  0,78. Из 7  показателей  выполнение  по 3-м  составило 1, обоснование отклонений   по  остальным  приведено в  столбце 7 таблицы .</w:t>
      </w:r>
    </w:p>
    <w:p w:rsidR="00FF0DA2" w:rsidRPr="00273407" w:rsidRDefault="00FF0DA2" w:rsidP="00FF0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Мероприятия, </w:t>
      </w:r>
      <w:proofErr w:type="gramStart"/>
      <w:r w:rsidRPr="00273407">
        <w:rPr>
          <w:rFonts w:ascii="Times New Roman" w:hAnsi="Times New Roman" w:cs="Times New Roman"/>
          <w:bCs/>
          <w:color w:val="000000"/>
          <w:sz w:val="28"/>
          <w:szCs w:val="28"/>
        </w:rPr>
        <w:t>запланированные  в</w:t>
      </w:r>
      <w:proofErr w:type="gramEnd"/>
      <w:r w:rsidRPr="00273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рамках выполнения   муниципальной программы выполнены в полном объеме,   Степень соответствия  запланированному уровню расходов  программы составляет 0,93.</w:t>
      </w:r>
    </w:p>
    <w:p w:rsidR="00FF0DA2" w:rsidRPr="00273407" w:rsidRDefault="00FF0DA2" w:rsidP="00FF0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целом, </w:t>
      </w:r>
      <w:proofErr w:type="gramStart"/>
      <w:r w:rsidRPr="00273407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 реализации</w:t>
      </w:r>
      <w:proofErr w:type="gramEnd"/>
      <w:r w:rsidRPr="00273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 составляет 0,35.</w:t>
      </w:r>
    </w:p>
    <w:p w:rsidR="00FF0DA2" w:rsidRPr="00273407" w:rsidRDefault="00FF0DA2" w:rsidP="00FF0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FF0DA2" w:rsidRPr="00273407" w:rsidRDefault="00FF0DA2" w:rsidP="00FF0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FF0DA2" w:rsidRPr="00273407" w:rsidRDefault="00FF0DA2" w:rsidP="00FF0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FF0DA2" w:rsidRPr="00273407" w:rsidRDefault="00FF0DA2" w:rsidP="00FF0DA2">
      <w:pPr>
        <w:pStyle w:val="a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F0DA2" w:rsidRPr="00273407" w:rsidRDefault="00DA52B9" w:rsidP="00FF0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F0DA2" w:rsidRPr="00273407">
          <w:rPr>
            <w:rStyle w:val="af0"/>
            <w:rFonts w:ascii="Times New Roman" w:hAnsi="Times New Roman" w:cs="Times New Roman"/>
            <w:sz w:val="28"/>
            <w:szCs w:val="28"/>
          </w:rPr>
          <w:t>Отчет</w:t>
        </w:r>
      </w:hyperlink>
      <w:r w:rsidR="00FF0DA2" w:rsidRPr="00273407">
        <w:rPr>
          <w:rFonts w:ascii="Times New Roman" w:hAnsi="Times New Roman" w:cs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                                    </w:t>
      </w:r>
    </w:p>
    <w:p w:rsidR="00FF0DA2" w:rsidRPr="00273407" w:rsidRDefault="00FF0DA2" w:rsidP="00FF0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3"/>
        <w:gridCol w:w="3163"/>
        <w:gridCol w:w="854"/>
        <w:gridCol w:w="1045"/>
        <w:gridCol w:w="950"/>
        <w:gridCol w:w="948"/>
        <w:gridCol w:w="2447"/>
      </w:tblGrid>
      <w:tr w:rsidR="00FF0DA2" w:rsidRPr="00273407" w:rsidTr="002D7CA5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Целевой показатель </w:t>
            </w:r>
          </w:p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целевых показателей муниципальной программы, подпрограммы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Обоснование  отклонений значений целевого показателя на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отчетного года (при наличии)</w:t>
            </w:r>
          </w:p>
        </w:tc>
      </w:tr>
      <w:tr w:rsidR="00FF0DA2" w:rsidRPr="00273407" w:rsidTr="002D7CA5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A2" w:rsidRPr="00273407" w:rsidTr="002D7CA5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A2" w:rsidRPr="00273407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0DA2" w:rsidRPr="00273407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системы управления и распоряжения земельно-имущественным комплексом района на 2021-2025  годы»</w:t>
            </w:r>
          </w:p>
        </w:tc>
      </w:tr>
      <w:tr w:rsidR="00FF0DA2" w:rsidRPr="00273407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доля объектов недвижимого имущества (в том числе земельных участков), учтенных в Реестре собственности района, право собственности на которое  зарегистрировано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89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9 объектов поставлены как бесхозяйные  в июле и октябре  2022 года, Поэтому право собственности на них будет зарегистрировано в 2023 году, данная работа  ведется постоянно.</w:t>
            </w:r>
          </w:p>
        </w:tc>
      </w:tr>
      <w:tr w:rsidR="00FF0DA2" w:rsidRPr="00273407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доля  учреждений, в отношении которых проведена проверка использования имущества района,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Проведена проверка использования муниципального имущества в МП «Водоканал» и МП «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Нюксеницаавтотранс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0DA2" w:rsidRPr="00273407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доля земельных участков, реализованных на торгах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Аукцион  по 2 лотам не состоялся в связи с отсутствием заявок Показатель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носит заявительный характер.</w:t>
            </w:r>
          </w:p>
        </w:tc>
      </w:tr>
      <w:tr w:rsidR="00FF0DA2" w:rsidRPr="00273407" w:rsidTr="002D7CA5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доля увеличения количества муниципального имущества района,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Перечень дополнен 3</w:t>
            </w:r>
            <w:r w:rsidR="004936C4"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единицами движимого имущества и одним объектом недвижимого имущества</w:t>
            </w:r>
          </w:p>
        </w:tc>
      </w:tr>
      <w:tr w:rsidR="00FF0DA2" w:rsidRPr="00273407" w:rsidTr="002D7CA5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Заключены договора  из 16 объектов недвижимого имущества на 11 объектов из 3 движимого имущества на 3. данный показатель  носит заявительный характер </w:t>
            </w:r>
          </w:p>
        </w:tc>
      </w:tr>
      <w:tr w:rsidR="00FF0DA2" w:rsidRPr="00273407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невостребованного имущества, реализованного в процессе приватизации.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4936C4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0DA2" w:rsidRPr="002734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Отсутствие спроса на невостребованное имущес</w:t>
            </w:r>
            <w:r w:rsidR="004936C4" w:rsidRPr="002734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  <w:tr w:rsidR="00FF0DA2" w:rsidRPr="00273407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73407">
              <w:rPr>
                <w:rStyle w:val="212pt"/>
                <w:rFonts w:eastAsia="Calibri"/>
                <w:sz w:val="28"/>
                <w:szCs w:val="28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273407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Данный показатель носит заявительный характер</w:t>
            </w:r>
          </w:p>
        </w:tc>
      </w:tr>
    </w:tbl>
    <w:p w:rsidR="00FF0DA2" w:rsidRPr="00273407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FF0DA2" w:rsidRPr="00273407" w:rsidSect="00FF0DA2">
          <w:type w:val="continuous"/>
          <w:pgSz w:w="11906" w:h="16838"/>
          <w:pgMar w:top="1418" w:right="993" w:bottom="1418" w:left="1418" w:header="720" w:footer="709" w:gutter="0"/>
          <w:cols w:space="720"/>
          <w:docGrid w:linePitch="600" w:charSpace="32768"/>
        </w:sectPr>
      </w:pPr>
    </w:p>
    <w:p w:rsidR="00FF0DA2" w:rsidRPr="00273407" w:rsidRDefault="00DA52B9" w:rsidP="00FF0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F0DA2" w:rsidRPr="00273407">
          <w:rPr>
            <w:rStyle w:val="af0"/>
            <w:rFonts w:ascii="Times New Roman" w:hAnsi="Times New Roman" w:cs="Times New Roman"/>
            <w:sz w:val="28"/>
            <w:szCs w:val="28"/>
          </w:rPr>
          <w:t>Отчет</w:t>
        </w:r>
      </w:hyperlink>
      <w:r w:rsidR="00FF0DA2" w:rsidRPr="00273407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p w:rsidR="00FF0DA2" w:rsidRPr="00273407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80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992"/>
        <w:gridCol w:w="850"/>
        <w:gridCol w:w="993"/>
        <w:gridCol w:w="1559"/>
        <w:gridCol w:w="1843"/>
        <w:gridCol w:w="850"/>
      </w:tblGrid>
      <w:tr w:rsidR="00FF0DA2" w:rsidRPr="00273407" w:rsidTr="002D7CA5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аналитической программной 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подпрограм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мы,                                               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Ответственный 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исполнитель подпрограммы, основного мероприятия,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 выполнен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ия плановый </w:t>
            </w:r>
          </w:p>
        </w:tc>
        <w:tc>
          <w:tcPr>
            <w:tcW w:w="9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 выполнения 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фактический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Ожидаемый непосредст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венный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Достигнутый результат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Проблемы, 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возникшие в ходе реализации мероприятия</w:t>
            </w:r>
          </w:p>
        </w:tc>
      </w:tr>
      <w:tr w:rsidR="00FF0DA2" w:rsidRPr="00273407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FF0DA2" w:rsidRPr="00273407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деятельности  комитета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имуществом администрации 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</w:t>
            </w: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обеспечено решение вопросов местного значения в сфере формирования, управления и распоряжения собственностью района и земельными ресурсами;</w:t>
            </w:r>
          </w:p>
          <w:p w:rsidR="00FF0DA2" w:rsidRPr="00273407" w:rsidRDefault="00FF0DA2" w:rsidP="002D7CA5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-обеспечено регулирование деятельности комитета по управлению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 в области наружной рекламы на территории района;</w:t>
            </w:r>
          </w:p>
          <w:p w:rsidR="00FF0DA2" w:rsidRPr="00273407" w:rsidRDefault="00FF0DA2" w:rsidP="002D7CA5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-обеспечено формирование и исполнение доходной части бюджета района в отношении неналоговых поступлений.</w:t>
            </w:r>
          </w:p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-обеспечено решение вопросов местного значения в сфере формирования, управления и распоряжения собственностью района и земельными ресурсам- 2 решения (1-Договор пожертвования о передаче ВОС и КОС в с. Нюксеница   1-  Распоряжение  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ТУ 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6C4"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в Вологодской области  (передана </w:t>
            </w:r>
            <w:r w:rsidR="004936C4"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в собственность района.), </w:t>
            </w:r>
          </w:p>
          <w:p w:rsidR="00FF0DA2" w:rsidRPr="00273407" w:rsidRDefault="00FF0DA2" w:rsidP="002D7CA5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-обеспечено формирование и исполнение доходной части бюджета района в отношении неналоговых поступлений,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lastRenderedPageBreak/>
              <w:t> </w:t>
            </w:r>
          </w:p>
        </w:tc>
      </w:tr>
      <w:tr w:rsidR="00FF0DA2" w:rsidRPr="00273407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имущества, находящегося в муниципальной собственности </w:t>
            </w: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</w:t>
            </w: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 обеспечено выполнение кадастровых работ по изготовлению технических планов, актов обследования;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технической инвентаризации недвижимого имущества;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проведение аукционов по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продаже  и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предоставлению в аренду земельных участков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содержание  и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ремонт муниципального имущества казны района;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проведены плановые проверки использования муниципального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имущества;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 обеспечено увеличение количества муниципального имущества района, в Перечне имущества;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увеличение количества заключенных договоров по предоставлению имущества;  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выполнение работ по техническому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обсдуживанию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spellStart"/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имушества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газораспр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еделительных сетей)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выполнены  работы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размера арендной платы за пользованием имущества района; 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обеспечено выполнение кадастровых работ по изготовлению технических планов (9 объектов,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которые  поставлены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как бесхозяйное имущество.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проведение аукционов по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продаже  и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предоставлению в аренду  земельных участков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обеспечено  действие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заключенных договоров по  предоставлению имущества и земельных участков (аренда имущества – 9 договоров,)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содержание  и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ремонт муниципального имущества казны района ;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 проведены плановые проверки использования муниципального имуществ- 2 проверки;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увеличение количества муниципального имущества района, в Перечне имущества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(дополнены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Перечни  МИСП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 в кол-ве 3 объектов движимого имущества и 1 объект недвижимого имущества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увеличение количества заключенных договоров по предоставлению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имущества  (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аренды имущества увеличилась  до 14 шт.) 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выполнение заключенных договоров на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ТО  газораспределительных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сетей на 41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объект,всего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 61 договор.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lastRenderedPageBreak/>
              <w:t> </w:t>
            </w:r>
          </w:p>
        </w:tc>
      </w:tr>
      <w:tr w:rsidR="00FF0DA2" w:rsidRPr="00273407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 </w:t>
            </w:r>
            <w:proofErr w:type="gram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  в</w:t>
            </w:r>
            <w:proofErr w:type="gram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управления земельными  ресурсами </w:t>
            </w: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</w:t>
            </w: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проведены кадастровые работы и работы по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подготовке  картографических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материалов  местоположения земельных участков, находящихся в муниципальной собственности; 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-обеспечена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публикация по предоставлению земельных участков в собственность и в аренду  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Оформление договоров купли-продажи земельных участков.</w:t>
            </w:r>
          </w:p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документов по выдаче  многодетным семьям «Земельного Сертификата» и земельных участков.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проведены конкурсные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процедуры  на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комплексных кадастровых работ по 3 кварталам и работы по подготовке  картографических  материалов  местоположения земельных участков, находящихся в муниципальной собственности;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Проведены согласительные комиссии в отношении 3-х кварталов (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д.Березово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д.Лесютино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д.Березовая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Слободка)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исполнены  3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по ККР</w:t>
            </w: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-заключены договора по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предоставлению  земельных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 в собственность и в аренду  согласно публикации (47 договоров аренды, 83- в собственность)</w:t>
            </w: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аукцион в </w:t>
            </w: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отношении  15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участков(  по 2- нет заявок), выполнены  работы по определению размера арендной платы - 15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зем.участков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0DA2" w:rsidRPr="00273407" w:rsidRDefault="00FF0DA2" w:rsidP="002D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Утверждены схемы </w:t>
            </w:r>
            <w:proofErr w:type="gramStart"/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расположения  по</w:t>
            </w:r>
            <w:proofErr w:type="gramEnd"/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 земельным  участкам,   102  земельных  участков поставлены на кадастровый учет. </w:t>
            </w:r>
          </w:p>
          <w:p w:rsidR="00FF0DA2" w:rsidRPr="00273407" w:rsidRDefault="00FF0DA2" w:rsidP="002D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Обеспечено </w:t>
            </w:r>
            <w:proofErr w:type="gramStart"/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 ЕДВ</w:t>
            </w:r>
            <w:proofErr w:type="gramEnd"/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5 многодетным семьям   в сумме   1016235  рублей., Кроме этого 5 многодетных семей получили в 2022 году земельные участки. </w:t>
            </w:r>
          </w:p>
          <w:p w:rsidR="00FF0DA2" w:rsidRPr="00273407" w:rsidRDefault="00FF0DA2" w:rsidP="002D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DA2" w:rsidRPr="00273407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lastRenderedPageBreak/>
              <w:t> </w:t>
            </w:r>
          </w:p>
        </w:tc>
      </w:tr>
    </w:tbl>
    <w:p w:rsidR="00FF0DA2" w:rsidRPr="00273407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FF0DA2" w:rsidRPr="00273407" w:rsidSect="008645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1" w:bottom="1134" w:left="993" w:header="720" w:footer="720" w:gutter="0"/>
          <w:cols w:space="720"/>
          <w:titlePg/>
          <w:docGrid w:linePitch="600" w:charSpace="32768"/>
        </w:sectPr>
      </w:pPr>
    </w:p>
    <w:p w:rsidR="00FF0DA2" w:rsidRPr="00273407" w:rsidRDefault="00DA52B9" w:rsidP="00FF0DA2">
      <w:pPr>
        <w:pageBreakBefore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F0DA2" w:rsidRPr="00273407">
          <w:rPr>
            <w:rStyle w:val="af0"/>
            <w:rFonts w:ascii="Times New Roman" w:hAnsi="Times New Roman" w:cs="Times New Roman"/>
            <w:sz w:val="28"/>
            <w:szCs w:val="28"/>
          </w:rPr>
          <w:t>Отчет</w:t>
        </w:r>
      </w:hyperlink>
      <w:r w:rsidR="00FF0DA2" w:rsidRPr="00273407">
        <w:rPr>
          <w:rFonts w:ascii="Times New Roman" w:hAnsi="Times New Roman" w:cs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FF0DA2" w:rsidRPr="00273407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8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1659"/>
        <w:gridCol w:w="1985"/>
        <w:gridCol w:w="1559"/>
        <w:gridCol w:w="992"/>
        <w:gridCol w:w="1610"/>
      </w:tblGrid>
      <w:tr w:rsidR="00FF0DA2" w:rsidRPr="00273407" w:rsidTr="002D7CA5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Коды аналитической программной классификации</w:t>
            </w:r>
          </w:p>
        </w:tc>
        <w:tc>
          <w:tcPr>
            <w:tcW w:w="16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фактических расходов к оценке расходов, %</w:t>
            </w:r>
          </w:p>
        </w:tc>
      </w:tr>
      <w:tr w:rsidR="00FF0DA2" w:rsidRPr="00273407" w:rsidTr="002D7CA5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6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DA2" w:rsidRPr="00273407" w:rsidTr="002D7CA5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района  на 2021-2025  годы».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8015,5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93,6</w:t>
            </w:r>
          </w:p>
        </w:tc>
      </w:tr>
      <w:tr w:rsidR="00FF0DA2" w:rsidRPr="00273407" w:rsidTr="002D7CA5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8015,5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93,6</w:t>
            </w:r>
          </w:p>
        </w:tc>
      </w:tr>
      <w:tr w:rsidR="00FF0DA2" w:rsidRPr="00273407" w:rsidTr="002D7CA5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FF0DA2" w:rsidRPr="00273407" w:rsidRDefault="00FF0DA2" w:rsidP="002D7CA5">
            <w:pPr>
              <w:spacing w:line="240" w:lineRule="auto"/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0DA2" w:rsidRPr="00273407" w:rsidTr="002D7CA5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FF0DA2" w:rsidRPr="00273407" w:rsidRDefault="00FF0DA2" w:rsidP="002D7CA5">
            <w:pPr>
              <w:spacing w:line="240" w:lineRule="auto"/>
              <w:ind w:left="175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6712,2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6185,6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92,1</w:t>
            </w:r>
          </w:p>
        </w:tc>
      </w:tr>
      <w:tr w:rsidR="00FF0DA2" w:rsidRPr="00273407" w:rsidTr="002D7CA5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FF0DA2" w:rsidRPr="00273407" w:rsidRDefault="00FF0DA2" w:rsidP="002D7CA5">
            <w:pPr>
              <w:spacing w:line="240" w:lineRule="auto"/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283,6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F0DA2" w:rsidRPr="00273407" w:rsidTr="002D7CA5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FF0DA2" w:rsidRPr="00273407" w:rsidRDefault="00FF0DA2" w:rsidP="002D7CA5">
            <w:pPr>
              <w:spacing w:line="240" w:lineRule="auto"/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1031,5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1031,5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100</w:t>
            </w:r>
          </w:p>
        </w:tc>
      </w:tr>
      <w:tr w:rsidR="00FF0DA2" w:rsidRPr="00273407" w:rsidTr="002D7CA5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FF0DA2" w:rsidRPr="00273407" w:rsidRDefault="00FF0DA2" w:rsidP="002D7CA5">
            <w:pPr>
              <w:spacing w:line="24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DA2" w:rsidRPr="00273407" w:rsidTr="002D7CA5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FF0DA2" w:rsidRPr="00273407" w:rsidRDefault="00FF0DA2" w:rsidP="002D7CA5">
            <w:pPr>
              <w:spacing w:line="24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DA2" w:rsidRPr="00273407" w:rsidTr="002D7CA5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DA2" w:rsidRPr="00273407" w:rsidTr="002D7CA5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F0DA2" w:rsidRPr="00273407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FF0DA2" w:rsidRPr="00273407" w:rsidSect="0086459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418" w:right="851" w:bottom="1418" w:left="1418" w:header="720" w:footer="709" w:gutter="0"/>
          <w:cols w:space="720"/>
          <w:titlePg/>
          <w:docGrid w:linePitch="600" w:charSpace="32768"/>
        </w:sectPr>
      </w:pPr>
    </w:p>
    <w:p w:rsidR="004936C4" w:rsidRPr="00273407" w:rsidRDefault="004936C4" w:rsidP="00FF0DA2">
      <w:pPr>
        <w:spacing w:line="240" w:lineRule="auto"/>
        <w:jc w:val="center"/>
        <w:rPr>
          <w:rFonts w:ascii="Times New Roman" w:hAnsi="Times New Roman" w:cs="Times New Roman"/>
        </w:rPr>
      </w:pPr>
    </w:p>
    <w:p w:rsidR="004936C4" w:rsidRPr="00273407" w:rsidRDefault="004936C4" w:rsidP="00FF0DA2">
      <w:pPr>
        <w:spacing w:line="240" w:lineRule="auto"/>
        <w:jc w:val="center"/>
        <w:rPr>
          <w:rFonts w:ascii="Times New Roman" w:hAnsi="Times New Roman" w:cs="Times New Roman"/>
        </w:rPr>
      </w:pPr>
    </w:p>
    <w:p w:rsidR="00FF0DA2" w:rsidRPr="00273407" w:rsidRDefault="00DA52B9" w:rsidP="00FF0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F0DA2" w:rsidRPr="00273407">
          <w:rPr>
            <w:rStyle w:val="af0"/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FF0DA2" w:rsidRPr="00273407">
        <w:rPr>
          <w:rFonts w:ascii="Times New Roman" w:hAnsi="Times New Roman" w:cs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p w:rsidR="00FF0DA2" w:rsidRPr="00273407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48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3851"/>
        <w:gridCol w:w="1275"/>
        <w:gridCol w:w="681"/>
        <w:gridCol w:w="3147"/>
      </w:tblGrid>
      <w:tr w:rsidR="00FF0DA2" w:rsidRPr="00273407" w:rsidTr="002D7CA5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FF0DA2" w:rsidRPr="00273407" w:rsidTr="002D7CA5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 района Вологодской области  « О внесении изменений в постановление  администрации  района от 05.12.2019  №362 « Об утверждении муниципальной программы «Совершенствование  системы управления и распоряжения земельно-имущественным комплексом района на 2021-2025 годов»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79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Решением Представительного собрания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31.03.2022 года №5 «О внесении изменений и дополнений в Решение Представительного Собрания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13.12.2021 года №93 «О бюджете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на 2022 год и  плановый период  2023 и 2024 годов»,</w:t>
            </w:r>
          </w:p>
        </w:tc>
      </w:tr>
      <w:tr w:rsidR="00FF0DA2" w:rsidRPr="00273407" w:rsidTr="002D7CA5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 района Вологодской области  « О внесении изменений в постановление  администрации  района от 05.12.2019  №362 « Об утверждении муниципальной программы «Совершенствование  системы управления и распоряжения земельно-имущественным комплексом района на 2021-2025 годов»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12.07.2022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Решением Представительного Собрания от 29.06.2022 №27 «О внесении изменений и дополнений в Решение Представительного Собрания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2022 год и плановый период 2023 и 2024 годов»</w:t>
            </w:r>
          </w:p>
        </w:tc>
      </w:tr>
    </w:tbl>
    <w:p w:rsidR="00FF0DA2" w:rsidRPr="00273407" w:rsidRDefault="00FF0DA2" w:rsidP="00FF0D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0DA2" w:rsidRPr="00273407" w:rsidRDefault="00FF0DA2" w:rsidP="00FF0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оценки эффективности муниципальной программы </w:t>
      </w:r>
    </w:p>
    <w:tbl>
      <w:tblPr>
        <w:tblW w:w="949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843"/>
        <w:gridCol w:w="1134"/>
        <w:gridCol w:w="1157"/>
        <w:gridCol w:w="1134"/>
        <w:gridCol w:w="709"/>
        <w:gridCol w:w="1111"/>
        <w:gridCol w:w="1134"/>
      </w:tblGrid>
      <w:tr w:rsidR="00FF0DA2" w:rsidRPr="00273407" w:rsidTr="002D7CA5">
        <w:tc>
          <w:tcPr>
            <w:tcW w:w="1276" w:type="dxa"/>
            <w:gridSpan w:val="2"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программа, подпрограмма (основное мероприятия)</w:t>
            </w:r>
          </w:p>
        </w:tc>
        <w:tc>
          <w:tcPr>
            <w:tcW w:w="1134" w:type="dxa"/>
            <w:vMerge w:val="restart"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57" w:type="dxa"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134" w:type="dxa"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плановых значений целевых показателей (индикаторов)</w:t>
            </w:r>
          </w:p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Степень реализации мероприятий </w:t>
            </w:r>
          </w:p>
        </w:tc>
        <w:tc>
          <w:tcPr>
            <w:tcW w:w="1111" w:type="dxa"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Степень соответствия запланированному уровню расходов</w:t>
            </w:r>
          </w:p>
        </w:tc>
        <w:tc>
          <w:tcPr>
            <w:tcW w:w="1134" w:type="dxa"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FF0DA2" w:rsidRPr="00273407" w:rsidTr="002D7CA5">
        <w:tc>
          <w:tcPr>
            <w:tcW w:w="709" w:type="dxa"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567" w:type="dxa"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FF0DA2" w:rsidRPr="00273407" w:rsidRDefault="00DA52B9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FF0DA2" w:rsidRPr="00273407" w:rsidRDefault="00DA52B9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:rsidR="00FF0DA2" w:rsidRPr="00273407" w:rsidRDefault="00DA52B9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1111" w:type="dxa"/>
            <w:vAlign w:val="center"/>
          </w:tcPr>
          <w:p w:rsidR="00FF0DA2" w:rsidRPr="00273407" w:rsidRDefault="00DA52B9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0DA2" w:rsidRPr="00273407" w:rsidRDefault="00DA52B9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</w:tr>
      <w:tr w:rsidR="00FF0DA2" w:rsidRPr="00273407" w:rsidTr="002D7CA5">
        <w:tc>
          <w:tcPr>
            <w:tcW w:w="709" w:type="dxa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F0DA2" w:rsidRPr="00273407" w:rsidRDefault="00FF0DA2" w:rsidP="002D7CA5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  <w:proofErr w:type="gram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2734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FF0DA2" w:rsidRPr="00273407" w:rsidRDefault="00FF0DA2" w:rsidP="002D7CA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района  на 2021-2025  годы».</w:t>
            </w:r>
          </w:p>
        </w:tc>
        <w:tc>
          <w:tcPr>
            <w:tcW w:w="1134" w:type="dxa"/>
          </w:tcPr>
          <w:p w:rsidR="00FF0DA2" w:rsidRPr="00273407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</w:t>
            </w:r>
          </w:p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134" w:type="dxa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709" w:type="dxa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111" w:type="dxa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1134" w:type="dxa"/>
          </w:tcPr>
          <w:p w:rsidR="00FF0DA2" w:rsidRPr="00273407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0,45</w:t>
            </w:r>
          </w:p>
        </w:tc>
      </w:tr>
    </w:tbl>
    <w:p w:rsidR="00FF0DA2" w:rsidRPr="00273407" w:rsidRDefault="00FF0DA2" w:rsidP="00FF0DA2">
      <w:pPr>
        <w:pStyle w:val="a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F0DA2" w:rsidRPr="00273407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 xml:space="preserve">      Комитет по управлению имуществом </w:t>
      </w:r>
      <w:proofErr w:type="spellStart"/>
      <w:r w:rsidRPr="00273407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>Нюксенского</w:t>
      </w:r>
      <w:proofErr w:type="spellEnd"/>
      <w:r w:rsidRPr="00273407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закупки согласно Федерального закона от 05.04.2013 года № 44-ФЗ «О контрактной системе в сфере закупок товаров, работ и услуг для обеспечения государственных и муниципальных нужд» согласно размещенного плана-графика </w:t>
      </w:r>
      <w:r w:rsidRPr="002734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официальном сайте. В основном закупки осуществляются по статье 93 44-ФЗ у единственного поставщика (подрядчика, исполнителя). В 2022 году проведен 1 электронный аукцион, 1 контракт </w:t>
      </w:r>
      <w:proofErr w:type="gramStart"/>
      <w:r w:rsidRPr="00273407">
        <w:rPr>
          <w:rFonts w:ascii="Times New Roman" w:hAnsi="Times New Roman" w:cs="Times New Roman"/>
          <w:color w:val="000000"/>
          <w:sz w:val="28"/>
          <w:szCs w:val="28"/>
        </w:rPr>
        <w:t>заключен  через</w:t>
      </w:r>
      <w:proofErr w:type="gramEnd"/>
      <w:r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магазин</w:t>
      </w:r>
      <w:r w:rsidR="00A5374B" w:rsidRPr="002734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0DA2" w:rsidRPr="00273407" w:rsidRDefault="00FF0DA2" w:rsidP="00FF0DA2">
      <w:pPr>
        <w:pStyle w:val="af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3407">
        <w:rPr>
          <w:rFonts w:ascii="Times New Roman" w:hAnsi="Times New Roman" w:cs="Times New Roman"/>
          <w:color w:val="000000"/>
          <w:sz w:val="28"/>
          <w:szCs w:val="28"/>
        </w:rPr>
        <w:t>По кадастровым работам с НМЦ 303333,33 руб., контракт заключен с ООО «ГК «Измерение на сумму 71183,</w:t>
      </w:r>
      <w:proofErr w:type="gramStart"/>
      <w:r w:rsidRPr="00273407">
        <w:rPr>
          <w:rFonts w:ascii="Times New Roman" w:hAnsi="Times New Roman" w:cs="Times New Roman"/>
          <w:color w:val="000000"/>
          <w:sz w:val="28"/>
          <w:szCs w:val="28"/>
        </w:rPr>
        <w:t>27  руб.</w:t>
      </w:r>
      <w:proofErr w:type="gramEnd"/>
      <w:r w:rsidRPr="00273407">
        <w:rPr>
          <w:rFonts w:ascii="Times New Roman" w:hAnsi="Times New Roman" w:cs="Times New Roman"/>
          <w:color w:val="000000"/>
          <w:sz w:val="28"/>
          <w:szCs w:val="28"/>
        </w:rPr>
        <w:t>, экономия 232150,06 руб.</w:t>
      </w:r>
    </w:p>
    <w:p w:rsidR="00FF0DA2" w:rsidRPr="00273407" w:rsidRDefault="00FF0DA2" w:rsidP="00FF0DA2">
      <w:pPr>
        <w:pStyle w:val="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407">
        <w:rPr>
          <w:rFonts w:ascii="Times New Roman" w:hAnsi="Times New Roman" w:cs="Times New Roman"/>
          <w:color w:val="000000"/>
          <w:sz w:val="28"/>
          <w:szCs w:val="28"/>
        </w:rPr>
        <w:t>По кадастровым работам с НМЦ 230816,</w:t>
      </w:r>
      <w:proofErr w:type="gramStart"/>
      <w:r w:rsidRPr="00273407">
        <w:rPr>
          <w:rFonts w:ascii="Times New Roman" w:hAnsi="Times New Roman" w:cs="Times New Roman"/>
          <w:color w:val="000000"/>
          <w:sz w:val="28"/>
          <w:szCs w:val="28"/>
        </w:rPr>
        <w:t>73  руб.</w:t>
      </w:r>
      <w:proofErr w:type="gramEnd"/>
      <w:r w:rsidRPr="00273407">
        <w:rPr>
          <w:rFonts w:ascii="Times New Roman" w:hAnsi="Times New Roman" w:cs="Times New Roman"/>
          <w:color w:val="000000"/>
          <w:sz w:val="28"/>
          <w:szCs w:val="28"/>
        </w:rPr>
        <w:t>, контракт заключен с ООО «Нева-инжиниринг» на сумму 148000,00 руб., экономия 82816,73 руб.</w:t>
      </w:r>
    </w:p>
    <w:p w:rsidR="00965964" w:rsidRPr="00273407" w:rsidRDefault="00965964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EA2" w:rsidRPr="00273407" w:rsidRDefault="00D24EA2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 3</w:t>
      </w:r>
      <w:proofErr w:type="gramEnd"/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«АНАЛИЗ ОТЧЕТА ОБ ИСПОЛНЕНИИ БЮДЖЕТА СУБЪЕКТОМ БЮДЖЕТНОЙ ОТЧЕТНОСТИ».</w:t>
      </w:r>
    </w:p>
    <w:p w:rsidR="00DA1205" w:rsidRPr="00273407" w:rsidRDefault="00DA1205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Сведения об исполнении бюджета представлены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форме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0503164, план по доходам </w:t>
      </w: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 на  96,17 %.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-получено доходов в районный бюджет в сумме 7405963,41 руб. при плановом назначении 7701130,00 руб. в том числе: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-полученные доходы в виде дивидендов, в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28161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,92 руб. (от хозяйственных обществ, имеющих доли в уставном капитале. Акции в уставном капитале ОАО «</w:t>
      </w:r>
      <w:proofErr w:type="spell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Вологдаоблгаз</w:t>
      </w:r>
      <w:proofErr w:type="spell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 шт. Доли в уставных капиталах ООО «</w:t>
      </w:r>
      <w:proofErr w:type="spell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Нюксенские</w:t>
      </w:r>
      <w:proofErr w:type="spell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ЭТС» - 25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%,  МП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«Водоканал» -100%, МП «</w:t>
      </w:r>
      <w:proofErr w:type="spell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Нюксеницаавтотранс</w:t>
      </w:r>
      <w:proofErr w:type="spell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» -100%)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доходы, полученные в виде арендной платы за земельные участки в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3825453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,39 руб.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сдачи в аренду имущества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 в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 515562,24 руб., 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прочие доходы от использования имущества (социальный </w:t>
      </w:r>
      <w:proofErr w:type="spell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 в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1 280178,40 рублей.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реализации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 выполнены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сумме   158279,76 руб., 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 от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земельных участков выполнены в сумме 1226875,94 руб.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штрафы, пени, возмещение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сумме 189269,44 руб.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 в сумме 352525,32 руб.</w:t>
      </w: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2022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финансирование проводилось по муниципальной программе «Совершенствование системы управления и распоряжением земельно-имущественным комплексом района на 2021-2025 годы»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--   бюджетные назначения   6640300,56 рублей;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--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 6543933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,09 руб. процент исполнения  98,55 % , в том числе  по выполненным мероприятиям:</w:t>
      </w:r>
    </w:p>
    <w:p w:rsidR="002D7CA5" w:rsidRPr="00273407" w:rsidRDefault="002D7CA5" w:rsidP="002D7CA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деятельности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комитета по управлению имуществом  в сумме  2213232,29 руб.</w:t>
      </w:r>
    </w:p>
    <w:p w:rsidR="002D7CA5" w:rsidRPr="00273407" w:rsidRDefault="002D7CA5" w:rsidP="002D7CA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имущества, находящегося в муниципальной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 в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3314465,80 рублей, в том числе: </w:t>
      </w:r>
      <w:r w:rsidRPr="002734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тех обслуживание газораспределительных сетей  на сумму 728420,48 руб.;  взносы на капитальный  ремонт жилых домов  342983,48 руб.; ремонт систем водоснабжения, устранение аварий на системах водоснабжения и водоотведения и приобретение расходных материалов для ремонта 398440,00 </w:t>
      </w: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руб., выполнение кадастровых работ 703454,27 руб., прочие работы и услуги 980058,80 руб.</w:t>
      </w:r>
    </w:p>
    <w:p w:rsidR="002D7CA5" w:rsidRPr="00273407" w:rsidRDefault="002D7CA5" w:rsidP="002D7CA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многодетным 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 ЕДВ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«Земельного сертификата»  в сумме 1016235,00 руб.</w:t>
      </w:r>
    </w:p>
    <w:p w:rsidR="00C47186" w:rsidRPr="00273407" w:rsidRDefault="00C47186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A5" w:rsidRPr="00273407" w:rsidRDefault="002D7CA5" w:rsidP="002D7CA5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0503128-НП «Отчет </w:t>
      </w:r>
      <w:proofErr w:type="gram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о бюджетных обязательства</w:t>
      </w:r>
      <w:proofErr w:type="gram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» (по национальным проектам)</w:t>
      </w:r>
    </w:p>
    <w:p w:rsidR="002D7CA5" w:rsidRPr="00273407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CA5" w:rsidRPr="00273407" w:rsidRDefault="002D7CA5" w:rsidP="002D7CA5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разделе 3 </w:t>
      </w:r>
      <w:r w:rsidRPr="00273407">
        <w:rPr>
          <w:rFonts w:ascii="Times New Roman" w:eastAsia="Calibri" w:hAnsi="Times New Roman" w:cs="Times New Roman"/>
          <w:sz w:val="28"/>
          <w:szCs w:val="28"/>
        </w:rPr>
        <w:t>Обязательства финансовых годов, следующих за текущим (отчетным) финансовым годом формы 0503128-НП отражены:</w:t>
      </w:r>
    </w:p>
    <w:p w:rsidR="002D7CA5" w:rsidRPr="00273407" w:rsidRDefault="002D7CA5" w:rsidP="002D7CA5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07">
        <w:rPr>
          <w:rFonts w:ascii="Times New Roman" w:eastAsia="Calibri" w:hAnsi="Times New Roman" w:cs="Times New Roman"/>
          <w:sz w:val="28"/>
          <w:szCs w:val="28"/>
        </w:rPr>
        <w:t>- утвержденные бюджетные асси</w:t>
      </w:r>
      <w:r w:rsidRPr="00273407">
        <w:rPr>
          <w:rFonts w:ascii="Times New Roman" w:hAnsi="Times New Roman" w:cs="Times New Roman"/>
          <w:sz w:val="28"/>
          <w:szCs w:val="28"/>
        </w:rPr>
        <w:t>гнования на плановый период 2023-</w:t>
      </w:r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2025 годов по муниципальной программе «Совершенствование системы управления и распоряжения земельно-имущественным комплексом района на 2021-2025 годы» по мероприятиям, направленным на реализацию регионального проекта «Финансовая поддержка семей при рождении детей» </w:t>
      </w:r>
      <w:proofErr w:type="gramStart"/>
      <w:r w:rsidRPr="00273407">
        <w:rPr>
          <w:rFonts w:ascii="Times New Roman" w:eastAsia="Calibri" w:hAnsi="Times New Roman" w:cs="Times New Roman"/>
          <w:sz w:val="28"/>
          <w:szCs w:val="28"/>
        </w:rPr>
        <w:t>в  сумме</w:t>
      </w:r>
      <w:proofErr w:type="gramEnd"/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407">
        <w:rPr>
          <w:rFonts w:ascii="Times New Roman" w:hAnsi="Times New Roman" w:cs="Times New Roman"/>
          <w:sz w:val="28"/>
          <w:szCs w:val="28"/>
        </w:rPr>
        <w:t>1814000,00</w:t>
      </w:r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D7CA5" w:rsidRPr="00273407" w:rsidRDefault="002D7CA5" w:rsidP="002D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 4</w:t>
      </w:r>
      <w:proofErr w:type="gramEnd"/>
      <w:r w:rsidRPr="00273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«АНАЛИЗ ПОКАЗАТЕЛЕЙ БУХГАЛТЕРСКОЙ ОТЧЕТНОСТИ СУБЪЕКТА БЮДЖЕТНОЙ ОТЧЕТНОСТИ»</w:t>
      </w: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Форма 0503168 и 0503168</w:t>
      </w:r>
      <w:proofErr w:type="gram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К  "</w:t>
      </w:r>
      <w:proofErr w:type="gram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движении нефинансовых активов"</w:t>
      </w:r>
    </w:p>
    <w:p w:rsidR="002D7CA5" w:rsidRPr="00273407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7CA5" w:rsidRPr="00273407" w:rsidRDefault="002D7CA5" w:rsidP="002D7C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основных фондов ведется в натуральной и денежной формах. 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936C4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Балансовая стоимость по основным средствам (иное движимое имущество) на 01.01.2023 года составляет 331357,12 руб., увеличилась на 21523,36 руб. Амортизация основных средств 100%, остаточной стоимости нет.</w:t>
      </w:r>
    </w:p>
    <w:p w:rsidR="002D7CA5" w:rsidRPr="00273407" w:rsidRDefault="002D7CA5" w:rsidP="002D7CA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Поступило основных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 на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сумму 598272,80 руб. из них:</w:t>
      </w:r>
    </w:p>
    <w:p w:rsidR="002D7CA5" w:rsidRPr="00273407" w:rsidRDefault="002D7CA5" w:rsidP="002D7CA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приобретено на содержание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аппарата  на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сумму 23026,80 руб. (системный блок, кресла)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приобретены насосы ЭЦВ, колонки водоразборные, плита газовая   на сумму 575246,00 руб.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A5" w:rsidRPr="00273407" w:rsidRDefault="004936C4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DA5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Выбытие</w:t>
      </w:r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средств составило 576749,44 руб., в том числе на сумму 8946,80 руб. переведены на </w:t>
      </w:r>
      <w:proofErr w:type="spellStart"/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забаланс</w:t>
      </w:r>
      <w:proofErr w:type="spellEnd"/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(сч.21), передано безвозмездно МП «Водоканал» на сумму 224461,00 руб. насосы, колонки водоразборные, списано в сумме 343341,64 руб.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A5" w:rsidRPr="00273407" w:rsidRDefault="004936C4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 102 «Нематериальные активы» в сумме 95000,00 руб., программный комплекс «БАРС-имущество» для обеспечения текущей деятельности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A5" w:rsidRPr="00273407" w:rsidRDefault="004936C4" w:rsidP="002D7CA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 103 «Непроизведенные активы» учтены неразграниченные земельные участки в сумме на 01.01.2023 года составляет 73508 276,24 руб. В течении 2022 года изменений не произошло.</w:t>
      </w:r>
    </w:p>
    <w:p w:rsidR="00C47186" w:rsidRPr="00273407" w:rsidRDefault="00A5374B" w:rsidP="00A5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      </w:t>
      </w:r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по счету 105 «Материальные запасы» на конец года составляет 41073,10 руб. 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Получено от </w:t>
      </w:r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Нюксенского</w:t>
      </w:r>
      <w:proofErr w:type="spellEnd"/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в сумме 99875,00 руб.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Списание материальных запасов за 2022 год составило 214481,63 руб., в том числе передано МП «Водоканал» на сумму 170765 руб.</w:t>
      </w:r>
    </w:p>
    <w:p w:rsidR="00C47186" w:rsidRPr="00273407" w:rsidRDefault="00C47186" w:rsidP="002D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369"/>
        <w:gridCol w:w="1873"/>
        <w:gridCol w:w="2148"/>
        <w:gridCol w:w="1545"/>
        <w:gridCol w:w="2589"/>
      </w:tblGrid>
      <w:tr w:rsidR="002D7CA5" w:rsidRPr="00273407" w:rsidTr="00C47186">
        <w:trPr>
          <w:trHeight w:val="274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RANGE!A1:E2"/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состояния НФА и основные направления их поступления и выбытия:</w:t>
            </w:r>
            <w:bookmarkEnd w:id="1"/>
          </w:p>
        </w:tc>
      </w:tr>
      <w:tr w:rsidR="002D7CA5" w:rsidRPr="00273407" w:rsidTr="00C47186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CA5" w:rsidRPr="00273407" w:rsidTr="00C47186">
        <w:trPr>
          <w:trHeight w:val="76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НФА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</w:t>
            </w: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поступления</w:t>
            </w: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НФА в учреждение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выбытие</w:t>
            </w: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2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выбытия  НФА в учреждении</w:t>
            </w:r>
          </w:p>
        </w:tc>
      </w:tr>
      <w:tr w:rsidR="002D7CA5" w:rsidRPr="00273407" w:rsidTr="00C4718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D7CA5" w:rsidRPr="00273407" w:rsidTr="00C47186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598 272,80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основных средств в сумме 598272,80 руб</w:t>
            </w:r>
            <w:r w:rsidR="0023179F"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получено безвозмездно от Администрации района на сумму 185861,00 руб</w:t>
            </w:r>
            <w:r w:rsidR="0023179F"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576 749,44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Выбытие основных средств в сумме 576749,44 руб., в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передано МП "Водоканал" на сумму 224461,00 руб.</w:t>
            </w:r>
          </w:p>
        </w:tc>
      </w:tr>
      <w:tr w:rsidR="002D7CA5" w:rsidRPr="00273407" w:rsidTr="00C4718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21 523,36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 основных средств</w:t>
            </w:r>
          </w:p>
        </w:tc>
      </w:tr>
      <w:tr w:rsidR="002D7CA5" w:rsidRPr="00273407" w:rsidTr="00C47186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основные средства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412 411,80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основных средств в сумме 412411,80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412 411,80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к учету основных средств в сумме 412411,80 руб.</w:t>
            </w:r>
          </w:p>
        </w:tc>
      </w:tr>
      <w:tr w:rsidR="002D7CA5" w:rsidRPr="00273407" w:rsidTr="00C47186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C4718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Амортизация нематериальных активов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C4718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нематериальные активы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C47186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Непроизведенные активы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CA5" w:rsidRPr="00273407" w:rsidTr="00C4718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непроизведенные активы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C47186">
        <w:trPr>
          <w:trHeight w:val="153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запасы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164 247,73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материальных запасов для текущей деятельности в сумме 164247,73 руб., в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получено безвозмездно от Администрации района на сумму 99875,00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214 481,63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Списание материальных ценностей в сумме 214481,63 руб., в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передано МП "Водоканал" на сумму 170765,00 руб.</w:t>
            </w:r>
          </w:p>
        </w:tc>
      </w:tr>
    </w:tbl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186" w:rsidRPr="00273407" w:rsidRDefault="0023179F" w:rsidP="00C4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D7CA5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имуществ</w:t>
      </w:r>
      <w:r w:rsidR="00C4718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="00C4718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казны  на</w:t>
      </w:r>
      <w:proofErr w:type="gramEnd"/>
      <w:r w:rsidR="00C4718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января 2023 года:</w:t>
      </w:r>
    </w:p>
    <w:p w:rsidR="00C47186" w:rsidRPr="00273407" w:rsidRDefault="00C47186" w:rsidP="00C4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Остаточная стоимость недвижимого и движимого имущества казны составляет 430 032 085,16 руб. </w:t>
      </w:r>
    </w:p>
    <w:p w:rsidR="00C47186" w:rsidRPr="00273407" w:rsidRDefault="00F77A14" w:rsidP="00C4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>Поступление имущества казны на</w:t>
      </w:r>
      <w:r w:rsidR="00191683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сумму 334968941,12 руб., в том числе</w:t>
      </w:r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получено от </w:t>
      </w:r>
      <w:proofErr w:type="gramStart"/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>УМВД  квартира</w:t>
      </w:r>
      <w:proofErr w:type="gramEnd"/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1596000,0</w:t>
      </w:r>
      <w:r w:rsidR="00191683" w:rsidRPr="00273407">
        <w:rPr>
          <w:rFonts w:ascii="Times New Roman" w:hAnsi="Times New Roman" w:cs="Times New Roman"/>
          <w:color w:val="000000"/>
          <w:sz w:val="28"/>
          <w:szCs w:val="28"/>
        </w:rPr>
        <w:t>0 руб., от преобразованных муниц</w:t>
      </w:r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ипальных образований и сельских поселений  на сумму 100029711,14 руб., от </w:t>
      </w:r>
      <w:proofErr w:type="spellStart"/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>Левашской</w:t>
      </w:r>
      <w:proofErr w:type="spellEnd"/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школы 3804468,80 руб., от </w:t>
      </w:r>
      <w:proofErr w:type="spellStart"/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>Газпромэнерго</w:t>
      </w:r>
      <w:proofErr w:type="spellEnd"/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208138173,74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руб., </w:t>
      </w:r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proofErr w:type="spellStart"/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>Газпромтрансга</w:t>
      </w:r>
      <w:r w:rsidR="00191683" w:rsidRPr="0027340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>Ухта</w:t>
      </w:r>
      <w:proofErr w:type="spellEnd"/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в сумме 2412794,02 руб., от МП "Водоканал" на сумму1285647,93 руб., от Администр</w:t>
      </w:r>
      <w:r w:rsidR="00191683" w:rsidRPr="00273407">
        <w:rPr>
          <w:rFonts w:ascii="Times New Roman" w:hAnsi="Times New Roman" w:cs="Times New Roman"/>
          <w:color w:val="000000"/>
          <w:sz w:val="28"/>
          <w:szCs w:val="28"/>
        </w:rPr>
        <w:t>ации района на сумму 15987781,80</w:t>
      </w:r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руб., оприходовано бесхозное имущество в сумме 1714363,69 руб.</w:t>
      </w:r>
    </w:p>
    <w:p w:rsidR="00C47186" w:rsidRPr="00273407" w:rsidRDefault="00F77A14" w:rsidP="002D7CA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>Выбытие имущества казны сост</w:t>
      </w:r>
      <w:r w:rsidR="00191683" w:rsidRPr="00273407">
        <w:rPr>
          <w:rFonts w:ascii="Times New Roman" w:hAnsi="Times New Roman" w:cs="Times New Roman"/>
          <w:color w:val="000000"/>
          <w:sz w:val="28"/>
          <w:szCs w:val="28"/>
        </w:rPr>
        <w:t>авляет 226714478,83 руб., в том числе</w:t>
      </w:r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передано МП "Водоканал" на сумму 217748779,17 руб., списано имущества казны на сумму 8965699,66 руб.</w:t>
      </w:r>
    </w:p>
    <w:p w:rsidR="00C47186" w:rsidRPr="00273407" w:rsidRDefault="00C47186" w:rsidP="002D7CA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186" w:rsidRPr="00273407" w:rsidRDefault="00C47186" w:rsidP="002D7CA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186" w:rsidRPr="00273407" w:rsidRDefault="002D7CA5" w:rsidP="00C47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непроизведенные активы </w:t>
      </w:r>
      <w:r w:rsidR="00DA5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составляют </w:t>
      </w:r>
      <w:r w:rsidR="00C4718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85 189 479,41 руб.; в течение 2022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земельных участков </w:t>
      </w:r>
      <w:r w:rsidR="00191683" w:rsidRPr="00273407">
        <w:rPr>
          <w:rFonts w:ascii="Times New Roman" w:hAnsi="Times New Roman" w:cs="Times New Roman"/>
          <w:color w:val="000000"/>
          <w:sz w:val="28"/>
          <w:szCs w:val="28"/>
        </w:rPr>
        <w:t>в сумме 44176863,48 руб., в том числе</w:t>
      </w:r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получено от преобразованных муниципальных образований и сельских поселений на сумму 36677624,06 руб., от </w:t>
      </w:r>
      <w:proofErr w:type="spellStart"/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>ГазпромтрансгазУхта</w:t>
      </w:r>
      <w:proofErr w:type="spellEnd"/>
      <w:r w:rsidR="00C47186" w:rsidRPr="00273407">
        <w:rPr>
          <w:rFonts w:ascii="Times New Roman" w:hAnsi="Times New Roman" w:cs="Times New Roman"/>
          <w:color w:val="000000"/>
          <w:sz w:val="28"/>
          <w:szCs w:val="28"/>
        </w:rPr>
        <w:t xml:space="preserve"> в сумме 292408,83руб., оприходовано на сумму 7206830,59 руб.</w:t>
      </w:r>
    </w:p>
    <w:p w:rsidR="00C47186" w:rsidRPr="00273407" w:rsidRDefault="00C47186" w:rsidP="00C47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07">
        <w:rPr>
          <w:rFonts w:ascii="Times New Roman" w:hAnsi="Times New Roman" w:cs="Times New Roman"/>
          <w:color w:val="000000"/>
          <w:sz w:val="28"/>
          <w:szCs w:val="28"/>
        </w:rPr>
        <w:t>Списание земельного участка на сумму 500,00 руб.</w:t>
      </w:r>
    </w:p>
    <w:p w:rsidR="004936C4" w:rsidRPr="00273407" w:rsidRDefault="004936C4" w:rsidP="00C47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6C4" w:rsidRPr="00273407" w:rsidRDefault="00762001" w:rsidP="00C47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62001">
        <w:rPr>
          <w:rFonts w:ascii="Times New Roman" w:hAnsi="Times New Roman" w:cs="Times New Roman"/>
          <w:color w:val="000000"/>
          <w:sz w:val="28"/>
          <w:szCs w:val="28"/>
        </w:rPr>
        <w:t>События после отчетной даты, которые по</w:t>
      </w:r>
      <w:r>
        <w:rPr>
          <w:rFonts w:ascii="Times New Roman" w:hAnsi="Times New Roman" w:cs="Times New Roman"/>
          <w:color w:val="000000"/>
          <w:sz w:val="28"/>
          <w:szCs w:val="28"/>
        </w:rPr>
        <w:t>длежат отражению в оборотах 2022</w:t>
      </w:r>
      <w:r w:rsidRPr="00762001">
        <w:rPr>
          <w:rFonts w:ascii="Times New Roman" w:hAnsi="Times New Roman" w:cs="Times New Roman"/>
          <w:color w:val="000000"/>
          <w:sz w:val="28"/>
          <w:szCs w:val="28"/>
        </w:rPr>
        <w:t xml:space="preserve"> года и отчетности за этот год, не происходили.</w:t>
      </w:r>
    </w:p>
    <w:p w:rsidR="00C47186" w:rsidRPr="00273407" w:rsidRDefault="00C47186" w:rsidP="00C4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остаточная стоимость имущества, переданного по договорам концессии 2</w:t>
      </w:r>
      <w:r w:rsidR="00C47186"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6 427 186,23 </w:t>
      </w: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C47186" w:rsidRPr="00273407" w:rsidRDefault="00C47186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материальные запасы в составе имущества </w:t>
      </w:r>
      <w:proofErr w:type="gramStart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казны  5000</w:t>
      </w:r>
      <w:proofErr w:type="gramEnd"/>
      <w:r w:rsidRPr="0027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руб., 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tbl>
      <w:tblPr>
        <w:tblW w:w="10860" w:type="dxa"/>
        <w:tblInd w:w="108" w:type="dxa"/>
        <w:tblLook w:val="04A0" w:firstRow="1" w:lastRow="0" w:firstColumn="1" w:lastColumn="0" w:noHBand="0" w:noVBand="1"/>
      </w:tblPr>
      <w:tblGrid>
        <w:gridCol w:w="2369"/>
        <w:gridCol w:w="1807"/>
        <w:gridCol w:w="2816"/>
        <w:gridCol w:w="1423"/>
        <w:gridCol w:w="2445"/>
      </w:tblGrid>
      <w:tr w:rsidR="002D7CA5" w:rsidRPr="00273407" w:rsidTr="002D7CA5">
        <w:trPr>
          <w:trHeight w:val="274"/>
        </w:trPr>
        <w:tc>
          <w:tcPr>
            <w:tcW w:w="10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RANGE!A16:E17"/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состояния имущества казны  и основные направления их поступления и выбытия:</w:t>
            </w:r>
            <w:bookmarkEnd w:id="2"/>
          </w:p>
        </w:tc>
      </w:tr>
      <w:tr w:rsidR="002D7CA5" w:rsidRPr="00273407" w:rsidTr="00BA755A">
        <w:trPr>
          <w:trHeight w:val="255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CA5" w:rsidRPr="00273407" w:rsidTr="00BA755A">
        <w:trPr>
          <w:trHeight w:val="76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НФА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</w:t>
            </w: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поступления</w:t>
            </w: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НФА в учреждение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выбытие</w:t>
            </w: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выбытия  НФА в учреждении</w:t>
            </w:r>
          </w:p>
        </w:tc>
      </w:tr>
      <w:tr w:rsidR="002D7CA5" w:rsidRPr="00273407" w:rsidTr="00BA755A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A755A" w:rsidRPr="00273407" w:rsidTr="00BA755A">
        <w:trPr>
          <w:trHeight w:val="1785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334 968 941,12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Поступление имущества казны на сумму 334968941,12 руб., в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получено от УМВД  квартира на сумму 1596000,00 руб., от МО И СП на сумму 100029711,14 руб., от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Левашской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школы 3804468,80 руб., от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Газпромэнерго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сумму 20813</w:t>
            </w:r>
            <w:r w:rsidR="00191683"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8173,74 руб., от </w:t>
            </w:r>
            <w:proofErr w:type="spellStart"/>
            <w:r w:rsidR="00191683"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Газпромтрансгаз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Ухта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сумме 2412794,02 руб., от МП 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"Водоканал" на сумму1285647,93 руб., от Администр</w:t>
            </w:r>
            <w:r w:rsidR="00191683"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района на сумму 15987781,80</w:t>
            </w: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оприходовано бесхозное имущество в сумме 1714363,69 руб.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226 714 478,83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Выбытие имущества казны составляет 226714478,83 руб., в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передано МП "Водоканал" на сумму 217748779,17 руб., списано имущества казны на сумму 8965699,66 руб.</w:t>
            </w:r>
          </w:p>
        </w:tc>
      </w:tr>
      <w:tr w:rsidR="00BA755A" w:rsidRPr="00273407" w:rsidTr="00BA755A">
        <w:trPr>
          <w:trHeight w:val="51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Амортизация основных средств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37 667 948,71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 имущества казны</w:t>
            </w:r>
          </w:p>
        </w:tc>
      </w:tr>
      <w:tr w:rsidR="002D7CA5" w:rsidRPr="00273407" w:rsidTr="00BA755A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основные средства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BA755A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BA755A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нематериальных активов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BA755A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нематериальные активы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755A" w:rsidRPr="00273407" w:rsidTr="00BA755A">
        <w:trPr>
          <w:trHeight w:val="2295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Непроизведенные активы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44 176 863,48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Поступление земельных участков в сумме 44176863,48 руб., в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получено от МО и СП на сумму 36677624,06 руб., от </w:t>
            </w:r>
            <w:proofErr w:type="spellStart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ГазпромтрансгазУхта</w:t>
            </w:r>
            <w:proofErr w:type="spellEnd"/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сумме 292408,83руб., оприходовано на сумму 7206830,59 руб.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Списание земельного участка</w:t>
            </w:r>
          </w:p>
        </w:tc>
      </w:tr>
      <w:tr w:rsidR="002D7CA5" w:rsidRPr="00273407" w:rsidTr="00BA755A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непроизведенные активы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BA755A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Материальные запасы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BA755A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материальные запасы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888"/>
        <w:gridCol w:w="246"/>
        <w:gridCol w:w="2220"/>
        <w:gridCol w:w="474"/>
        <w:gridCol w:w="2835"/>
        <w:gridCol w:w="3685"/>
      </w:tblGrid>
      <w:tr w:rsidR="00BA755A" w:rsidRPr="00273407" w:rsidTr="002D7CA5">
        <w:trPr>
          <w:trHeight w:val="274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Расшифровка имущества и обязательств на </w:t>
            </w:r>
            <w:proofErr w:type="spellStart"/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забалансовых</w:t>
            </w:r>
            <w:proofErr w:type="spellEnd"/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счетах</w:t>
            </w:r>
          </w:p>
        </w:tc>
      </w:tr>
      <w:tr w:rsidR="00BA755A" w:rsidRPr="00273407" w:rsidTr="002D7CA5">
        <w:trPr>
          <w:trHeight w:val="25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55A" w:rsidRPr="00273407" w:rsidTr="002D7CA5">
        <w:trPr>
          <w:trHeight w:val="51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RANGE!A3:D10"/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счета</w:t>
            </w:r>
            <w:bookmarkEnd w:id="3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счета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</w:t>
            </w:r>
          </w:p>
        </w:tc>
      </w:tr>
      <w:tr w:rsidR="00BA755A" w:rsidRPr="00273407" w:rsidTr="002D7CA5">
        <w:trPr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755A" w:rsidRPr="00273407" w:rsidTr="002D7CA5">
        <w:trPr>
          <w:trHeight w:val="103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 бюджета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352 525,32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Невыяснен</w:t>
            </w:r>
            <w:r w:rsidR="0023179F" w:rsidRPr="002734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ые поступления</w:t>
            </w:r>
          </w:p>
        </w:tc>
      </w:tr>
      <w:tr w:rsidR="00BA755A" w:rsidRPr="00273407" w:rsidTr="00BA755A">
        <w:trPr>
          <w:trHeight w:val="103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26 436,80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Основные средства в эксплуатации, используемые для текущей деятельности</w:t>
            </w:r>
          </w:p>
        </w:tc>
      </w:tr>
      <w:tr w:rsidR="00BA755A" w:rsidRPr="00273407" w:rsidTr="00BA755A">
        <w:trPr>
          <w:trHeight w:val="85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150 969 748,33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Имущество, переданное в возмездное пользование (аренду)</w:t>
            </w:r>
          </w:p>
        </w:tc>
      </w:tr>
      <w:tr w:rsidR="00BA755A" w:rsidRPr="00273407" w:rsidTr="00BA755A">
        <w:trPr>
          <w:trHeight w:val="716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55A" w:rsidRPr="00273407" w:rsidRDefault="00BA755A" w:rsidP="00BA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20 016 542,13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55A" w:rsidRPr="00273407" w:rsidRDefault="00BA755A" w:rsidP="00BA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Имущество, переданное в безвозмездное пользование</w:t>
            </w:r>
          </w:p>
        </w:tc>
      </w:tr>
      <w:tr w:rsidR="00BA755A" w:rsidRPr="00273407" w:rsidTr="002D7CA5">
        <w:trPr>
          <w:trHeight w:val="61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по номинальной стоимости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по номинальной стоимости</w:t>
            </w:r>
          </w:p>
        </w:tc>
      </w:tr>
      <w:tr w:rsidR="00BA755A" w:rsidRPr="00273407" w:rsidTr="002D7CA5">
        <w:trPr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BA755A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171365256,58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755A" w:rsidRPr="00273407" w:rsidTr="002D7CA5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7CA5" w:rsidRPr="00273407" w:rsidRDefault="002D7CA5" w:rsidP="002D7CA5">
      <w:pPr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74B" w:rsidRPr="00273407" w:rsidRDefault="002D7CA5" w:rsidP="002D7CA5">
      <w:pPr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Признаков обесценения основных средств </w:t>
      </w:r>
      <w:r w:rsidR="004936C4" w:rsidRPr="00273407">
        <w:rPr>
          <w:rFonts w:ascii="Times New Roman" w:hAnsi="Times New Roman" w:cs="Times New Roman"/>
          <w:sz w:val="28"/>
          <w:szCs w:val="28"/>
        </w:rPr>
        <w:t>за отчетный период не выявлено.</w:t>
      </w: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Форма 0503169 "Сведения о дебиторской и кредиторской задолженности"</w:t>
      </w:r>
    </w:p>
    <w:p w:rsidR="002D7CA5" w:rsidRPr="00273407" w:rsidRDefault="002D7CA5" w:rsidP="002D7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CA5" w:rsidRPr="00273407" w:rsidRDefault="002D7CA5" w:rsidP="002D7CA5">
      <w:pPr>
        <w:tabs>
          <w:tab w:val="left" w:pos="4111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73407">
        <w:rPr>
          <w:rFonts w:ascii="Times New Roman" w:hAnsi="Times New Roman" w:cs="Times New Roman"/>
          <w:sz w:val="28"/>
          <w:szCs w:val="28"/>
        </w:rPr>
        <w:t>Дебиторская задолженность на 01.01.202</w:t>
      </w:r>
      <w:r w:rsidR="0023179F" w:rsidRPr="00273407">
        <w:rPr>
          <w:rFonts w:ascii="Times New Roman" w:hAnsi="Times New Roman" w:cs="Times New Roman"/>
          <w:sz w:val="28"/>
          <w:szCs w:val="28"/>
        </w:rPr>
        <w:t>3 года составляет 13 099 258,95</w:t>
      </w:r>
      <w:r w:rsidR="00664AF8">
        <w:rPr>
          <w:rFonts w:ascii="Times New Roman" w:hAnsi="Times New Roman" w:cs="Times New Roman"/>
          <w:sz w:val="28"/>
          <w:szCs w:val="28"/>
        </w:rPr>
        <w:t xml:space="preserve"> руб., в том числе 0,06 руб. переплата за отправку почтовой корреспонденции, 29,00 руб.</w:t>
      </w:r>
      <w:r w:rsidRPr="00273407">
        <w:rPr>
          <w:rFonts w:ascii="Times New Roman" w:hAnsi="Times New Roman" w:cs="Times New Roman"/>
          <w:sz w:val="28"/>
          <w:szCs w:val="28"/>
        </w:rPr>
        <w:t xml:space="preserve"> </w:t>
      </w:r>
      <w:r w:rsidR="00664AF8">
        <w:rPr>
          <w:rFonts w:ascii="Times New Roman" w:hAnsi="Times New Roman" w:cs="Times New Roman"/>
          <w:sz w:val="28"/>
          <w:szCs w:val="28"/>
        </w:rPr>
        <w:t>предоплата за электроэнергию, 9171032,08 руб. доходы</w:t>
      </w:r>
      <w:r w:rsidRPr="00273407">
        <w:rPr>
          <w:rFonts w:ascii="Times New Roman" w:hAnsi="Times New Roman" w:cs="Times New Roman"/>
          <w:sz w:val="28"/>
          <w:szCs w:val="28"/>
        </w:rPr>
        <w:t xml:space="preserve"> будущих периодов по </w:t>
      </w:r>
      <w:r w:rsidRPr="00273407">
        <w:rPr>
          <w:rFonts w:ascii="Times New Roman" w:hAnsi="Times New Roman" w:cs="Times New Roman"/>
          <w:sz w:val="28"/>
          <w:szCs w:val="28"/>
        </w:rPr>
        <w:lastRenderedPageBreak/>
        <w:t>аренде земельных участков</w:t>
      </w:r>
      <w:r w:rsidR="00664AF8">
        <w:rPr>
          <w:rFonts w:ascii="Times New Roman" w:hAnsi="Times New Roman" w:cs="Times New Roman"/>
          <w:sz w:val="28"/>
          <w:szCs w:val="28"/>
        </w:rPr>
        <w:t>, 2090202,58 руб. доходы будущих периодов от операционной аренды, 1837995,23 руб. задолженность</w:t>
      </w:r>
      <w:r w:rsidRPr="00273407">
        <w:rPr>
          <w:rFonts w:ascii="Times New Roman" w:hAnsi="Times New Roman" w:cs="Times New Roman"/>
          <w:sz w:val="28"/>
          <w:szCs w:val="28"/>
        </w:rPr>
        <w:t xml:space="preserve"> по до</w:t>
      </w:r>
      <w:r w:rsidR="00743DB2" w:rsidRPr="00273407">
        <w:rPr>
          <w:rFonts w:ascii="Times New Roman" w:hAnsi="Times New Roman" w:cs="Times New Roman"/>
          <w:sz w:val="28"/>
          <w:szCs w:val="28"/>
        </w:rPr>
        <w:t>ходам от найма жилых помещений.</w:t>
      </w:r>
    </w:p>
    <w:p w:rsidR="002D7CA5" w:rsidRPr="00273407" w:rsidRDefault="002D7CA5" w:rsidP="002D7CA5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     Просроченная дебиторская задолженность на 01.01.2023 года увеличилась на 191125,18 руб. и составляет 1224242,90 руб. в виду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задолженности  по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найму жилых помещений и аренде земельных участков, по которой ведется </w:t>
      </w:r>
      <w:proofErr w:type="spellStart"/>
      <w:r w:rsidRPr="00273407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273407">
        <w:rPr>
          <w:rFonts w:ascii="Times New Roman" w:hAnsi="Times New Roman" w:cs="Times New Roman"/>
          <w:sz w:val="28"/>
          <w:szCs w:val="28"/>
        </w:rPr>
        <w:t>-исковая работа по взысканию.</w:t>
      </w:r>
    </w:p>
    <w:p w:rsidR="002D7CA5" w:rsidRPr="00273407" w:rsidRDefault="002D7CA5" w:rsidP="002D7CA5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      Долгосрочная дебиторская задолженность 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составляет  7473625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>,08 руб., это начисление доходов будущих периодов по операционной аренде и аренде земельных участков согласно федерального стандарта «Аренда»</w:t>
      </w: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360"/>
        <w:gridCol w:w="1826"/>
        <w:gridCol w:w="2471"/>
        <w:gridCol w:w="2841"/>
      </w:tblGrid>
      <w:tr w:rsidR="0023179F" w:rsidRPr="00273407" w:rsidTr="002D7CA5">
        <w:trPr>
          <w:trHeight w:val="552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Расшифровка дебиторской задолженности </w:t>
            </w: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конец отчетного периода по счетам учета</w:t>
            </w:r>
          </w:p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CA5" w:rsidRPr="00273407" w:rsidTr="002D7CA5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79F" w:rsidRPr="00273407" w:rsidTr="002D7CA5">
        <w:trPr>
          <w:trHeight w:val="51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RANGE!A3:D14"/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счета</w:t>
            </w:r>
            <w:bookmarkEnd w:id="4"/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просроченная, рублей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</w:t>
            </w:r>
          </w:p>
        </w:tc>
      </w:tr>
      <w:tr w:rsidR="0023179F" w:rsidRPr="00273407" w:rsidTr="002D7CA5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3179F" w:rsidRPr="00273407" w:rsidTr="002D7CA5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20521004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918913,58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 от операционной аренды</w:t>
            </w:r>
          </w:p>
        </w:tc>
      </w:tr>
      <w:tr w:rsidR="0023179F" w:rsidRPr="00273407" w:rsidTr="002D7CA5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20521007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1171289,00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 от операционной аренды</w:t>
            </w:r>
          </w:p>
        </w:tc>
      </w:tr>
      <w:tr w:rsidR="0023179F" w:rsidRPr="00273407" w:rsidTr="002D7CA5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20523004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4534932,87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 от аренды земельных участков</w:t>
            </w:r>
          </w:p>
        </w:tc>
      </w:tr>
      <w:tr w:rsidR="0023179F" w:rsidRPr="00273407" w:rsidTr="002D7CA5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20523007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4636099,21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613061,05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 от аренды земельных участков</w:t>
            </w:r>
          </w:p>
        </w:tc>
      </w:tr>
      <w:tr w:rsidR="0023179F" w:rsidRPr="00273407" w:rsidTr="002D7CA5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20529007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BA755A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1837995,23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611181,85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найма жилых помещений</w:t>
            </w:r>
          </w:p>
        </w:tc>
      </w:tr>
      <w:tr w:rsidR="0023179F" w:rsidRPr="00273407" w:rsidTr="002D7CA5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20623004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Предоплата за электроэнергию</w:t>
            </w:r>
          </w:p>
        </w:tc>
      </w:tr>
      <w:tr w:rsidR="0023179F" w:rsidRPr="00273407" w:rsidTr="002D7CA5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20621004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Переплата за отправку почтовой корреспонденции</w:t>
            </w:r>
          </w:p>
        </w:tc>
      </w:tr>
      <w:tr w:rsidR="0023179F" w:rsidRPr="00273407" w:rsidTr="002D7CA5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дебиторская задолженность: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BA755A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13 099 258,95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1 224 242,90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2D7CA5">
        <w:trPr>
          <w:trHeight w:val="29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CA5" w:rsidRPr="00273407" w:rsidRDefault="002D7CA5" w:rsidP="002D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CA5" w:rsidRPr="00273407" w:rsidTr="002D7CA5">
        <w:trPr>
          <w:trHeight w:val="552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Кредиторская задолженность на 01.01.2023 года составляет 373591,89 руб., увеличилась по сравнению с прошлым годом на 49 % в связи невыясненными поступлениями в сумме 352525,32 руб. </w:t>
            </w:r>
          </w:p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Расшифровка кредиторской задолженности </w:t>
            </w: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конец отчетного периода по счетам учета</w:t>
            </w:r>
          </w:p>
        </w:tc>
      </w:tr>
      <w:tr w:rsidR="002D7CA5" w:rsidRPr="00273407" w:rsidTr="002D7CA5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79F" w:rsidRPr="00273407" w:rsidTr="002D7CA5">
        <w:trPr>
          <w:trHeight w:val="51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RANGE!A17:D23"/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счета</w:t>
            </w:r>
            <w:bookmarkEnd w:id="5"/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просроченная, рублей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</w:t>
            </w:r>
          </w:p>
        </w:tc>
      </w:tr>
      <w:tr w:rsidR="0023179F" w:rsidRPr="00273407" w:rsidTr="002D7CA5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3179F" w:rsidRPr="00273407" w:rsidTr="002D7CA5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20581000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352525,32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</w:tr>
      <w:tr w:rsidR="0023179F" w:rsidRPr="00273407" w:rsidTr="002D7CA5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30225004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21066,57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</w:tr>
      <w:tr w:rsidR="0023179F" w:rsidRPr="00273407" w:rsidTr="002D7CA5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кредиторская задолженность: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373 591,89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7CA5" w:rsidRPr="00273407" w:rsidTr="002D7CA5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07">
        <w:rPr>
          <w:rFonts w:ascii="Times New Roman" w:hAnsi="Times New Roman" w:cs="Times New Roman"/>
          <w:b/>
          <w:sz w:val="28"/>
          <w:szCs w:val="28"/>
        </w:rPr>
        <w:t>форма 0503171 "Сведения о финансовых вложениях получателя бюджетных средств"</w:t>
      </w:r>
    </w:p>
    <w:p w:rsidR="002D7CA5" w:rsidRPr="00273407" w:rsidRDefault="002D7CA5" w:rsidP="002D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       Информация о хозяйственных обществах, имеющих долю в уставном кап</w:t>
      </w:r>
      <w:r w:rsidR="00664AF8">
        <w:rPr>
          <w:rFonts w:ascii="Times New Roman" w:hAnsi="Times New Roman" w:cs="Times New Roman"/>
          <w:sz w:val="28"/>
          <w:szCs w:val="28"/>
        </w:rPr>
        <w:t>итале по состоянию на 01.01.2023</w:t>
      </w:r>
      <w:r w:rsidRPr="0027340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D7CA5" w:rsidRPr="00273407" w:rsidRDefault="002D7CA5" w:rsidP="002D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- акции в уставном капитале ОАО «</w:t>
      </w:r>
      <w:proofErr w:type="spellStart"/>
      <w:proofErr w:type="gramStart"/>
      <w:r w:rsidRPr="00273407">
        <w:rPr>
          <w:rFonts w:ascii="Times New Roman" w:hAnsi="Times New Roman" w:cs="Times New Roman"/>
          <w:sz w:val="28"/>
          <w:szCs w:val="28"/>
        </w:rPr>
        <w:t>Вологдаоблгаз</w:t>
      </w:r>
      <w:proofErr w:type="spellEnd"/>
      <w:r w:rsidRPr="00273407">
        <w:rPr>
          <w:rFonts w:ascii="Times New Roman" w:hAnsi="Times New Roman" w:cs="Times New Roman"/>
          <w:sz w:val="28"/>
          <w:szCs w:val="28"/>
        </w:rPr>
        <w:t>»  4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2D7CA5" w:rsidRPr="00273407" w:rsidRDefault="002D7CA5" w:rsidP="002D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- доли в уставных капиталах обществ:</w:t>
      </w:r>
    </w:p>
    <w:p w:rsidR="002D7CA5" w:rsidRPr="00273407" w:rsidRDefault="002D7CA5" w:rsidP="002D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МП «Водоканал» - 100% в сумме 100000,00 руб. в денежном выражении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A5" w:rsidRPr="00273407" w:rsidRDefault="002D7CA5" w:rsidP="002D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07">
        <w:rPr>
          <w:rFonts w:ascii="Times New Roman" w:hAnsi="Times New Roman" w:cs="Times New Roman"/>
          <w:b/>
          <w:sz w:val="28"/>
          <w:szCs w:val="28"/>
        </w:rPr>
        <w:t>форма 0503174</w:t>
      </w:r>
      <w:proofErr w:type="gramStart"/>
      <w:r w:rsidRPr="00273407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273407">
        <w:rPr>
          <w:rFonts w:ascii="Times New Roman" w:hAnsi="Times New Roman" w:cs="Times New Roman"/>
          <w:b/>
          <w:sz w:val="28"/>
          <w:szCs w:val="28"/>
        </w:rPr>
        <w:t>Сведения о доходах бюджета от перечисления части</w:t>
      </w:r>
    </w:p>
    <w:p w:rsidR="002D7CA5" w:rsidRPr="00273407" w:rsidRDefault="002D7CA5" w:rsidP="002D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07">
        <w:rPr>
          <w:rFonts w:ascii="Times New Roman" w:hAnsi="Times New Roman" w:cs="Times New Roman"/>
          <w:b/>
          <w:sz w:val="28"/>
          <w:szCs w:val="28"/>
        </w:rPr>
        <w:t>прибыли (дивидендов) государственных (муниципальных)</w:t>
      </w:r>
    </w:p>
    <w:p w:rsidR="002D7CA5" w:rsidRPr="00273407" w:rsidRDefault="002D7CA5" w:rsidP="002D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07">
        <w:rPr>
          <w:rFonts w:ascii="Times New Roman" w:hAnsi="Times New Roman" w:cs="Times New Roman"/>
          <w:b/>
          <w:sz w:val="28"/>
          <w:szCs w:val="28"/>
        </w:rPr>
        <w:t>унитарных предприятий, иных организаций с государственным</w:t>
      </w:r>
    </w:p>
    <w:p w:rsidR="002D7CA5" w:rsidRPr="00273407" w:rsidRDefault="002D7CA5" w:rsidP="002D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07">
        <w:rPr>
          <w:rFonts w:ascii="Times New Roman" w:hAnsi="Times New Roman" w:cs="Times New Roman"/>
          <w:b/>
          <w:sz w:val="28"/>
          <w:szCs w:val="28"/>
        </w:rPr>
        <w:t>участием в капитале»</w:t>
      </w:r>
    </w:p>
    <w:p w:rsidR="002D7CA5" w:rsidRPr="00273407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Доходы, подлежащие перечислению в части прибыли (</w:t>
      </w:r>
      <w:proofErr w:type="spell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дивидентов</w:t>
      </w:r>
      <w:proofErr w:type="spell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бюджет за отчетный период в сумме 28161,92 руб., в том числе: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"Газпром газораспределение Вологда</w:t>
      </w:r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"  3161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,92 руб.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Нюксенские</w:t>
      </w:r>
      <w:proofErr w:type="spell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электротеплосети</w:t>
      </w:r>
      <w:proofErr w:type="spell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»  25</w:t>
      </w:r>
      <w:proofErr w:type="gramEnd"/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руб.</w:t>
      </w:r>
    </w:p>
    <w:p w:rsidR="002D7CA5" w:rsidRPr="00273407" w:rsidRDefault="002D7CA5" w:rsidP="002D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CA5" w:rsidRPr="00273407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0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273407">
        <w:rPr>
          <w:rFonts w:ascii="Times New Roman" w:hAnsi="Times New Roman" w:cs="Times New Roman"/>
          <w:b/>
          <w:sz w:val="28"/>
          <w:szCs w:val="28"/>
        </w:rPr>
        <w:t>0503175  «</w:t>
      </w:r>
      <w:proofErr w:type="gramEnd"/>
      <w:r w:rsidRPr="00273407">
        <w:rPr>
          <w:rFonts w:ascii="Times New Roman" w:hAnsi="Times New Roman" w:cs="Times New Roman"/>
          <w:b/>
          <w:sz w:val="28"/>
          <w:szCs w:val="28"/>
        </w:rPr>
        <w:t>Сведения о принятых и неисполненных обязательствах получателя бюджетных средств»</w:t>
      </w:r>
    </w:p>
    <w:p w:rsidR="002D7CA5" w:rsidRPr="00273407" w:rsidRDefault="002D7CA5" w:rsidP="002D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CA5" w:rsidRPr="00273407" w:rsidRDefault="002D7CA5" w:rsidP="002D7CA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Обязательства с применением конкурентных способов размещения процедур</w:t>
      </w:r>
      <w:r w:rsidR="00955A6E">
        <w:rPr>
          <w:rFonts w:ascii="Times New Roman" w:hAnsi="Times New Roman" w:cs="Times New Roman"/>
          <w:sz w:val="28"/>
          <w:szCs w:val="28"/>
        </w:rPr>
        <w:t xml:space="preserve"> (электронный аукцион)</w:t>
      </w:r>
      <w:r w:rsidRPr="00273407">
        <w:rPr>
          <w:rFonts w:ascii="Times New Roman" w:hAnsi="Times New Roman" w:cs="Times New Roman"/>
          <w:sz w:val="28"/>
          <w:szCs w:val="28"/>
        </w:rPr>
        <w:t xml:space="preserve"> составляют 303 333,33 руб., принято обязательств по контракту </w:t>
      </w:r>
      <w:r w:rsidR="00955A6E">
        <w:rPr>
          <w:rFonts w:ascii="Times New Roman" w:hAnsi="Times New Roman" w:cs="Times New Roman"/>
          <w:sz w:val="28"/>
          <w:szCs w:val="28"/>
        </w:rPr>
        <w:t xml:space="preserve">на </w:t>
      </w:r>
      <w:r w:rsidRPr="00273407">
        <w:rPr>
          <w:rFonts w:ascii="Times New Roman" w:hAnsi="Times New Roman" w:cs="Times New Roman"/>
          <w:sz w:val="28"/>
          <w:szCs w:val="28"/>
        </w:rPr>
        <w:t>выполнение кадастровых работ на сумму 71 183,</w:t>
      </w:r>
      <w:proofErr w:type="gramStart"/>
      <w:r w:rsidRPr="00273407">
        <w:rPr>
          <w:rFonts w:ascii="Times New Roman" w:hAnsi="Times New Roman" w:cs="Times New Roman"/>
          <w:sz w:val="28"/>
          <w:szCs w:val="28"/>
        </w:rPr>
        <w:t>27  руб.</w:t>
      </w:r>
      <w:proofErr w:type="gramEnd"/>
      <w:r w:rsidRPr="00273407">
        <w:rPr>
          <w:rFonts w:ascii="Times New Roman" w:hAnsi="Times New Roman" w:cs="Times New Roman"/>
          <w:sz w:val="28"/>
          <w:szCs w:val="28"/>
        </w:rPr>
        <w:t xml:space="preserve"> Экономия по результатам процедур составляет 232 150,06 руб.</w:t>
      </w:r>
    </w:p>
    <w:p w:rsidR="00C47186" w:rsidRPr="00273407" w:rsidRDefault="00C47186" w:rsidP="002D7CA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47186" w:rsidRPr="00273407" w:rsidRDefault="00C47186" w:rsidP="00C4718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0503178 "Сведения об остатках денежных средств ПБС. Средства во временном распоряжении"</w:t>
      </w:r>
    </w:p>
    <w:p w:rsidR="002D7CA5" w:rsidRPr="00F30833" w:rsidRDefault="00C47186" w:rsidP="00F308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По счетам, открытым в финансовом органе, по состоянию на 01.01.2023 года остаток средств во временном распоряжении 543</w:t>
      </w:r>
      <w:r w:rsidR="00F30833">
        <w:rPr>
          <w:rFonts w:ascii="Times New Roman" w:hAnsi="Times New Roman" w:cs="Times New Roman"/>
          <w:color w:val="000000" w:themeColor="text1"/>
          <w:sz w:val="28"/>
          <w:szCs w:val="28"/>
        </w:rPr>
        <w:t>6,00 руб. (задатки по аукциону)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7CA5" w:rsidRPr="00273407" w:rsidRDefault="002D7CA5" w:rsidP="002D7CA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73407">
        <w:rPr>
          <w:rFonts w:ascii="Times New Roman" w:eastAsia="Calibri" w:hAnsi="Times New Roman" w:cs="Times New Roman"/>
          <w:b/>
          <w:sz w:val="28"/>
          <w:szCs w:val="28"/>
        </w:rPr>
        <w:t>форме 0503128 «Отчет о бюджетных обязательствах»</w:t>
      </w:r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 отражены бюджетные и денежные обязательства.</w:t>
      </w:r>
    </w:p>
    <w:p w:rsidR="002D7CA5" w:rsidRPr="00273407" w:rsidRDefault="002D7CA5" w:rsidP="002D7CA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В разделе 1 утвержденные лимиты бюджетных обязательств 6640300,56 руб., п</w:t>
      </w:r>
      <w:r w:rsidR="00955A6E">
        <w:rPr>
          <w:rFonts w:ascii="Times New Roman" w:hAnsi="Times New Roman" w:cs="Times New Roman"/>
          <w:sz w:val="28"/>
          <w:szCs w:val="28"/>
        </w:rPr>
        <w:t>ринятые обязательства 6543933,09</w:t>
      </w:r>
      <w:r w:rsidRPr="00273407">
        <w:rPr>
          <w:rFonts w:ascii="Times New Roman" w:hAnsi="Times New Roman" w:cs="Times New Roman"/>
          <w:sz w:val="28"/>
          <w:szCs w:val="28"/>
        </w:rPr>
        <w:t xml:space="preserve"> руб., принятых обязательств сверх лимитов нет. </w:t>
      </w:r>
    </w:p>
    <w:p w:rsidR="002D7CA5" w:rsidRPr="00273407" w:rsidRDefault="002D7CA5" w:rsidP="002D7CA5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07">
        <w:rPr>
          <w:rFonts w:ascii="Times New Roman" w:eastAsia="Calibri" w:hAnsi="Times New Roman" w:cs="Times New Roman"/>
          <w:sz w:val="28"/>
          <w:szCs w:val="28"/>
        </w:rPr>
        <w:t>В разделе 3 Обязательства финансовых годов, следующих за текущим (отчетным) финансовым годом формы 0503128 отражены:</w:t>
      </w:r>
    </w:p>
    <w:p w:rsidR="002D7CA5" w:rsidRPr="00273407" w:rsidRDefault="002D7CA5" w:rsidP="002D7CA5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07">
        <w:rPr>
          <w:rFonts w:ascii="Times New Roman" w:eastAsia="Calibri" w:hAnsi="Times New Roman" w:cs="Times New Roman"/>
          <w:sz w:val="28"/>
          <w:szCs w:val="28"/>
        </w:rPr>
        <w:t>- утвержденные бюджетные асси</w:t>
      </w:r>
      <w:r w:rsidRPr="00273407">
        <w:rPr>
          <w:rFonts w:ascii="Times New Roman" w:hAnsi="Times New Roman" w:cs="Times New Roman"/>
          <w:sz w:val="28"/>
          <w:szCs w:val="28"/>
        </w:rPr>
        <w:t>гнования на плановый период 2024-</w:t>
      </w:r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2025 годов на сумму </w:t>
      </w:r>
      <w:r w:rsidRPr="00273407">
        <w:rPr>
          <w:rFonts w:ascii="Times New Roman" w:hAnsi="Times New Roman" w:cs="Times New Roman"/>
          <w:sz w:val="28"/>
          <w:szCs w:val="28"/>
        </w:rPr>
        <w:t xml:space="preserve">13 297 825,69 </w:t>
      </w:r>
      <w:r w:rsidRPr="00273407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BA755A" w:rsidRPr="00273407" w:rsidRDefault="002D7CA5" w:rsidP="004936C4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- принятые бюджетные обязательства в сумме </w:t>
      </w:r>
      <w:r w:rsidR="00BA755A" w:rsidRPr="00273407">
        <w:rPr>
          <w:rFonts w:ascii="Times New Roman" w:hAnsi="Times New Roman" w:cs="Times New Roman"/>
          <w:sz w:val="28"/>
          <w:szCs w:val="28"/>
        </w:rPr>
        <w:t>102709,02</w:t>
      </w:r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 рублей, из них резервы предстоящих расходов на оплату отпусков в сумме </w:t>
      </w:r>
      <w:r w:rsidRPr="00273407">
        <w:rPr>
          <w:rFonts w:ascii="Times New Roman" w:hAnsi="Times New Roman" w:cs="Times New Roman"/>
          <w:sz w:val="28"/>
          <w:szCs w:val="28"/>
        </w:rPr>
        <w:t>81642,45</w:t>
      </w:r>
      <w:r w:rsidR="00BA755A" w:rsidRPr="00273407">
        <w:rPr>
          <w:rFonts w:ascii="Times New Roman" w:eastAsia="Calibri" w:hAnsi="Times New Roman" w:cs="Times New Roman"/>
          <w:sz w:val="28"/>
          <w:szCs w:val="28"/>
        </w:rPr>
        <w:t xml:space="preserve"> руб., принятие бюджетные обязательства на 2023 год в сумме 21066,57 руб.</w:t>
      </w:r>
    </w:p>
    <w:p w:rsidR="002D7CA5" w:rsidRPr="00273407" w:rsidRDefault="002D7CA5" w:rsidP="002D7CA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07">
        <w:rPr>
          <w:rFonts w:ascii="Times New Roman" w:hAnsi="Times New Roman" w:cs="Times New Roman"/>
          <w:b/>
          <w:sz w:val="28"/>
          <w:szCs w:val="28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2D7CA5" w:rsidRPr="00273407" w:rsidRDefault="002D7CA5" w:rsidP="002D7CA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3319"/>
      </w:tblGrid>
      <w:tr w:rsidR="002D7CA5" w:rsidRPr="00273407" w:rsidTr="002D7CA5">
        <w:trPr>
          <w:trHeight w:val="55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остатков на конец отчетного периода по счету 401 40 000 "Доходы будущих периодов"</w:t>
            </w:r>
          </w:p>
        </w:tc>
      </w:tr>
      <w:tr w:rsidR="002D7CA5" w:rsidRPr="00273407" w:rsidTr="002D7CA5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CA5" w:rsidRPr="00273407" w:rsidTr="002D7CA5">
        <w:trPr>
          <w:trHeight w:val="85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вида дохода будущих периодов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2D7CA5" w:rsidRPr="00273407" w:rsidTr="002D7CA5">
        <w:trPr>
          <w:trHeight w:val="274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D7CA5" w:rsidRPr="00273407" w:rsidTr="002D7CA5">
        <w:trPr>
          <w:trHeight w:val="552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будущих периодов (упущенная выгода)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BA755A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15002,28</w:t>
            </w:r>
          </w:p>
        </w:tc>
      </w:tr>
      <w:tr w:rsidR="002D7CA5" w:rsidRPr="00273407" w:rsidTr="002D7CA5">
        <w:trPr>
          <w:trHeight w:val="552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будущих периодов от операционной аренды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BA755A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2090202,58</w:t>
            </w:r>
          </w:p>
        </w:tc>
      </w:tr>
      <w:tr w:rsidR="002D7CA5" w:rsidRPr="00273407" w:rsidTr="002D7CA5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будущих периодов от аренды земельных участков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BA755A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9171032,08</w:t>
            </w:r>
          </w:p>
        </w:tc>
      </w:tr>
      <w:tr w:rsidR="002D7CA5" w:rsidRPr="00273407" w:rsidTr="002D7CA5">
        <w:trPr>
          <w:trHeight w:val="274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C93853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11 276 236,94</w:t>
            </w:r>
          </w:p>
        </w:tc>
      </w:tr>
    </w:tbl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50" w:type="dxa"/>
        <w:tblInd w:w="108" w:type="dxa"/>
        <w:tblLook w:val="04A0" w:firstRow="1" w:lastRow="0" w:firstColumn="1" w:lastColumn="0" w:noHBand="0" w:noVBand="1"/>
      </w:tblPr>
      <w:tblGrid>
        <w:gridCol w:w="1676"/>
        <w:gridCol w:w="3851"/>
        <w:gridCol w:w="2053"/>
        <w:gridCol w:w="2170"/>
      </w:tblGrid>
      <w:tr w:rsidR="002D7CA5" w:rsidRPr="00273407" w:rsidTr="00C93853">
        <w:trPr>
          <w:trHeight w:val="1103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A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534" w:type="dxa"/>
              <w:tblLook w:val="04A0" w:firstRow="1" w:lastRow="0" w:firstColumn="1" w:lastColumn="0" w:noHBand="0" w:noVBand="1"/>
            </w:tblPr>
            <w:tblGrid>
              <w:gridCol w:w="1580"/>
              <w:gridCol w:w="3160"/>
              <w:gridCol w:w="1580"/>
              <w:gridCol w:w="3214"/>
            </w:tblGrid>
            <w:tr w:rsidR="002D7CA5" w:rsidRPr="00273407" w:rsidTr="002D7CA5">
              <w:trPr>
                <w:trHeight w:val="1103"/>
              </w:trPr>
              <w:tc>
                <w:tcPr>
                  <w:tcW w:w="95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Расшифровка остатков на конец отчетного периода по счету 401 50 000 "Расходы будущих периодов"</w:t>
                  </w:r>
                </w:p>
              </w:tc>
            </w:tr>
            <w:tr w:rsidR="002D7CA5" w:rsidRPr="00273407" w:rsidTr="002D7CA5">
              <w:trPr>
                <w:trHeight w:val="255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7CA5" w:rsidRPr="00273407" w:rsidTr="002D7CA5">
              <w:trPr>
                <w:trHeight w:val="510"/>
              </w:trPr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31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вида расхода будущих периодов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КОСГУ</w:t>
                  </w:r>
                </w:p>
              </w:tc>
              <w:tc>
                <w:tcPr>
                  <w:tcW w:w="32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Сумма</w:t>
                  </w:r>
                </w:p>
              </w:tc>
            </w:tr>
            <w:tr w:rsidR="002D7CA5" w:rsidRPr="00273407" w:rsidTr="002D7CA5">
              <w:trPr>
                <w:trHeight w:val="255"/>
              </w:trPr>
              <w:tc>
                <w:tcPr>
                  <w:tcW w:w="1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2D7CA5" w:rsidRPr="00273407" w:rsidTr="002D7CA5">
              <w:trPr>
                <w:trHeight w:val="510"/>
              </w:trPr>
              <w:tc>
                <w:tcPr>
                  <w:tcW w:w="1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будущих периодов (упущенная выгода)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241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D7CA5" w:rsidRPr="00273407" w:rsidRDefault="00BA755A" w:rsidP="002D7C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15002,28</w:t>
                  </w:r>
                </w:p>
              </w:tc>
            </w:tr>
            <w:tr w:rsidR="002D7CA5" w:rsidRPr="00273407" w:rsidTr="002D7CA5">
              <w:trPr>
                <w:trHeight w:val="274"/>
              </w:trPr>
              <w:tc>
                <w:tcPr>
                  <w:tcW w:w="63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273407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D7CA5" w:rsidRPr="00273407" w:rsidRDefault="00BA755A" w:rsidP="002D7C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15002,28</w:t>
                  </w:r>
                </w:p>
              </w:tc>
            </w:tr>
          </w:tbl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остатков на конец отчетного периода по счету 401 60 000 "Резервы предстоящих расходов"</w:t>
            </w:r>
          </w:p>
        </w:tc>
      </w:tr>
      <w:tr w:rsidR="002D7CA5" w:rsidRPr="00273407" w:rsidTr="00C93853">
        <w:trPr>
          <w:trHeight w:val="25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CA5" w:rsidRPr="00273407" w:rsidTr="00C93853">
        <w:trPr>
          <w:trHeight w:val="51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вида резервов предстоящих расходов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2D7CA5" w:rsidRPr="00273407" w:rsidTr="00C93853">
        <w:trPr>
          <w:trHeight w:val="255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D7CA5" w:rsidRPr="00273407" w:rsidTr="00C93853">
        <w:trPr>
          <w:trHeight w:val="51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 предстоящих расходов на оплату отпусков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C93853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62705,42</w:t>
            </w:r>
          </w:p>
        </w:tc>
      </w:tr>
      <w:tr w:rsidR="002D7CA5" w:rsidRPr="00273407" w:rsidTr="00C93853">
        <w:trPr>
          <w:trHeight w:val="765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 предстоящих расходов по начислению страховых взносов  на оплату отпусков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C93853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18937,03</w:t>
            </w:r>
          </w:p>
        </w:tc>
      </w:tr>
      <w:tr w:rsidR="002D7CA5" w:rsidRPr="00273407" w:rsidTr="00C93853">
        <w:trPr>
          <w:trHeight w:val="274"/>
        </w:trPr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273407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273407" w:rsidRDefault="00C93853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81642,45</w:t>
            </w:r>
          </w:p>
        </w:tc>
      </w:tr>
    </w:tbl>
    <w:p w:rsidR="002D7CA5" w:rsidRPr="00273407" w:rsidRDefault="002D7CA5" w:rsidP="002734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CA5" w:rsidRPr="00273407" w:rsidRDefault="002D7CA5" w:rsidP="002D7CA5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Форма 0503110 «Справка по заключению счетов бюджетного учета отчетного финансового года»</w:t>
      </w:r>
    </w:p>
    <w:p w:rsidR="002D7CA5" w:rsidRPr="00273407" w:rsidRDefault="002D7CA5" w:rsidP="002D7CA5">
      <w:pPr>
        <w:tabs>
          <w:tab w:val="left" w:pos="751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Показатели, отраженные по счетам 1 401 10 172, 1 401 10 176, 1 401 10 19Х в разрезе корреспонденции с которыми осуществлялось применение указанных счетов, отражены в таблицах:</w:t>
      </w:r>
    </w:p>
    <w:tbl>
      <w:tblPr>
        <w:tblW w:w="10791" w:type="dxa"/>
        <w:tblInd w:w="96" w:type="dxa"/>
        <w:tblLook w:val="04A0" w:firstRow="1" w:lastRow="0" w:firstColumn="1" w:lastColumn="0" w:noHBand="0" w:noVBand="1"/>
      </w:tblPr>
      <w:tblGrid>
        <w:gridCol w:w="3981"/>
        <w:gridCol w:w="2324"/>
        <w:gridCol w:w="2016"/>
        <w:gridCol w:w="2463"/>
        <w:gridCol w:w="7"/>
      </w:tblGrid>
      <w:tr w:rsidR="002D7CA5" w:rsidRPr="00273407" w:rsidTr="002D7CA5">
        <w:trPr>
          <w:trHeight w:val="80"/>
        </w:trPr>
        <w:tc>
          <w:tcPr>
            <w:tcW w:w="10791" w:type="dxa"/>
            <w:gridSpan w:val="5"/>
            <w:vAlign w:val="bottom"/>
          </w:tcPr>
          <w:p w:rsidR="002D7CA5" w:rsidRPr="00273407" w:rsidRDefault="002D7CA5" w:rsidP="002734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tbl>
            <w:tblPr>
              <w:tblW w:w="9855" w:type="dxa"/>
              <w:tblLook w:val="04A0" w:firstRow="1" w:lastRow="0" w:firstColumn="1" w:lastColumn="0" w:noHBand="0" w:noVBand="1"/>
            </w:tblPr>
            <w:tblGrid>
              <w:gridCol w:w="2808"/>
              <w:gridCol w:w="1812"/>
              <w:gridCol w:w="1783"/>
              <w:gridCol w:w="1751"/>
              <w:gridCol w:w="1701"/>
            </w:tblGrid>
            <w:tr w:rsidR="00C93853" w:rsidRPr="00273407" w:rsidTr="00273407">
              <w:trPr>
                <w:trHeight w:val="552"/>
              </w:trPr>
              <w:tc>
                <w:tcPr>
                  <w:tcW w:w="98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Расшифровка показателей по счету 401 10 172 в справке 0503110</w:t>
                  </w:r>
                </w:p>
              </w:tc>
            </w:tr>
            <w:tr w:rsidR="00C93853" w:rsidRPr="00273407" w:rsidTr="00273407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3853" w:rsidRPr="00273407" w:rsidTr="00273407">
              <w:trPr>
                <w:trHeight w:val="825"/>
              </w:trPr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Корреспондирующий счет</w:t>
                  </w:r>
                </w:p>
              </w:tc>
              <w:tc>
                <w:tcPr>
                  <w:tcW w:w="359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Код счета бюджетного учета</w:t>
                  </w:r>
                </w:p>
              </w:tc>
              <w:tc>
                <w:tcPr>
                  <w:tcW w:w="345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Остаток на 1 января года, следующего за отчетным (до заключительных записей)</w:t>
                  </w:r>
                </w:p>
              </w:tc>
            </w:tr>
            <w:tr w:rsidR="00C93853" w:rsidRPr="00273407" w:rsidTr="00273407">
              <w:trPr>
                <w:trHeight w:val="274"/>
              </w:trPr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1 401 10 172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причина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дебету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кредиту</w:t>
                  </w:r>
                </w:p>
              </w:tc>
            </w:tr>
            <w:tr w:rsidR="00C93853" w:rsidRPr="00273407" w:rsidTr="00273407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C93853" w:rsidRPr="00273407" w:rsidTr="00273407">
              <w:trPr>
                <w:trHeight w:val="120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Нефинансовые активы, всего</w:t>
                  </w: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 том числе по счетам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8 199 891,11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C93853" w:rsidRPr="00273407" w:rsidTr="00273407">
              <w:trPr>
                <w:trHeight w:val="52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1 10800000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1 40110172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Списание земельных участков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C93853" w:rsidRPr="00273407" w:rsidTr="00273407">
              <w:trPr>
                <w:trHeight w:val="48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1 10800000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1 40110172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Списание имущества казны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8 199 391,11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C93853" w:rsidRPr="00273407" w:rsidTr="00273407">
              <w:trPr>
                <w:trHeight w:val="48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Финансовые активы, всего</w:t>
                  </w: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 том числе по счетам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1 385 155,70</w:t>
                  </w:r>
                </w:p>
              </w:tc>
            </w:tr>
            <w:tr w:rsidR="00C93853" w:rsidRPr="00273407" w:rsidTr="00273407">
              <w:trPr>
                <w:trHeight w:val="51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1 20500000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1 40110172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Поступление в бюджет от продажи имущества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1 385 155,70</w:t>
                  </w:r>
                </w:p>
              </w:tc>
            </w:tr>
            <w:tr w:rsidR="00C93853" w:rsidRPr="00273407" w:rsidTr="00273407">
              <w:trPr>
                <w:trHeight w:val="51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Обязательства, всего</w:t>
                  </w: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 том числе по счетам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C93853" w:rsidRPr="00273407" w:rsidTr="00273407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1 40110172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C93853" w:rsidRPr="00273407" w:rsidTr="00273407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8 199 891,11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1 385 155,70</w:t>
                  </w:r>
                </w:p>
              </w:tc>
            </w:tr>
          </w:tbl>
          <w:p w:rsidR="0023179F" w:rsidRPr="00273407" w:rsidRDefault="0023179F" w:rsidP="00A5374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tbl>
            <w:tblPr>
              <w:tblW w:w="10422" w:type="dxa"/>
              <w:tblLook w:val="04A0" w:firstRow="1" w:lastRow="0" w:firstColumn="1" w:lastColumn="0" w:noHBand="0" w:noVBand="1"/>
            </w:tblPr>
            <w:tblGrid>
              <w:gridCol w:w="2808"/>
              <w:gridCol w:w="1166"/>
              <w:gridCol w:w="3084"/>
              <w:gridCol w:w="1349"/>
              <w:gridCol w:w="2015"/>
            </w:tblGrid>
            <w:tr w:rsidR="00C93853" w:rsidRPr="00273407" w:rsidTr="00273407">
              <w:trPr>
                <w:trHeight w:val="552"/>
              </w:trPr>
              <w:tc>
                <w:tcPr>
                  <w:tcW w:w="104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3407" w:rsidRPr="00273407" w:rsidRDefault="00273407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Расшифровка показателей по счету 401 10 19Х в справке 0503110</w:t>
                  </w:r>
                </w:p>
              </w:tc>
            </w:tr>
            <w:tr w:rsidR="00C93853" w:rsidRPr="00273407" w:rsidTr="00273407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3853" w:rsidRPr="00273407" w:rsidTr="00273407">
              <w:trPr>
                <w:trHeight w:val="825"/>
              </w:trPr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6" w:name="RANGE!A3:E18"/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Корреспондирующий счет</w:t>
                  </w:r>
                  <w:bookmarkEnd w:id="6"/>
                </w:p>
              </w:tc>
              <w:tc>
                <w:tcPr>
                  <w:tcW w:w="42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Код счета бюджетного учета</w:t>
                  </w:r>
                </w:p>
              </w:tc>
              <w:tc>
                <w:tcPr>
                  <w:tcW w:w="33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Остаток на 1 января года, следующего за отчетным (до заключительных записей)</w:t>
                  </w:r>
                </w:p>
              </w:tc>
            </w:tr>
            <w:tr w:rsidR="00C93853" w:rsidRPr="00273407" w:rsidTr="00273407">
              <w:trPr>
                <w:trHeight w:val="274"/>
              </w:trPr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1 401 10 19Х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причина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дебету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кредиту</w:t>
                  </w:r>
                </w:p>
              </w:tc>
            </w:tr>
            <w:tr w:rsidR="00C93853" w:rsidRPr="00273407" w:rsidTr="00273407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C93853" w:rsidRPr="00273407" w:rsidTr="00273407">
              <w:trPr>
                <w:trHeight w:val="99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Нефинансовые активы, всего</w:t>
                  </w: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 том числе по счетам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335 940 408,00</w:t>
                  </w:r>
                </w:p>
              </w:tc>
            </w:tr>
            <w:tr w:rsidR="00C93853" w:rsidRPr="00273407" w:rsidTr="00273407">
              <w:trPr>
                <w:trHeight w:val="76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1 10100000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Поступление основных средств от Администрации </w:t>
                  </w:r>
                  <w:proofErr w:type="spellStart"/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Нюксенского</w:t>
                  </w:r>
                  <w:proofErr w:type="spellEnd"/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33 000,00</w:t>
                  </w:r>
                </w:p>
              </w:tc>
            </w:tr>
            <w:tr w:rsidR="00C93853" w:rsidRPr="00273407" w:rsidTr="00273407">
              <w:trPr>
                <w:trHeight w:val="76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1 10500000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Поступление стройматериалов от Администрации </w:t>
                  </w:r>
                  <w:proofErr w:type="spellStart"/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Нюксенского</w:t>
                  </w:r>
                  <w:proofErr w:type="spellEnd"/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99 875,00</w:t>
                  </w:r>
                </w:p>
              </w:tc>
            </w:tr>
            <w:tr w:rsidR="00C93853" w:rsidRPr="00273407" w:rsidTr="00273407">
              <w:trPr>
                <w:trHeight w:val="51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1 10800000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Поступление имущества казны (бесхозное)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1 714 363,69</w:t>
                  </w:r>
                </w:p>
              </w:tc>
            </w:tr>
            <w:tr w:rsidR="00C93853" w:rsidRPr="00273407" w:rsidTr="00273407">
              <w:trPr>
                <w:trHeight w:val="76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1 10800000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Поступление имущества казны от </w:t>
                  </w:r>
                  <w:proofErr w:type="spellStart"/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Газпромэнерго</w:t>
                  </w:r>
                  <w:proofErr w:type="spellEnd"/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ГазпромтрансгазУхта</w:t>
                  </w:r>
                  <w:proofErr w:type="spellEnd"/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209 629 325,59</w:t>
                  </w:r>
                </w:p>
              </w:tc>
            </w:tr>
            <w:tr w:rsidR="00C93853" w:rsidRPr="00273407" w:rsidTr="00273407">
              <w:trPr>
                <w:trHeight w:val="51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1 10800000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Поступление земельных участков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7 206 830,59</w:t>
                  </w:r>
                </w:p>
              </w:tc>
            </w:tr>
            <w:tr w:rsidR="00C93853" w:rsidRPr="00273407" w:rsidTr="00273407">
              <w:trPr>
                <w:trHeight w:val="104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1 10800000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Поступление имущества казны от УМВД 1021440,00 руб., от СП И МО поселений района 99048610,06 руб., от МП "Водоканал" 1285647,93 руб., от </w:t>
                  </w: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Администрации района 15901315,14 руб.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117 257 013,13</w:t>
                  </w:r>
                </w:p>
              </w:tc>
            </w:tr>
            <w:tr w:rsidR="00C93853" w:rsidRPr="00273407" w:rsidTr="00273407">
              <w:trPr>
                <w:trHeight w:val="81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Финансовые активы, всего</w:t>
                  </w: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 том числе по счетам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C93853" w:rsidRPr="00273407" w:rsidTr="00273407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C93853" w:rsidRPr="00273407" w:rsidTr="00273407">
              <w:trPr>
                <w:trHeight w:val="51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Обязательства, всего</w:t>
                  </w: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 том числе по счетам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C93853" w:rsidRPr="00273407" w:rsidTr="00273407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C93853" w:rsidRPr="00273407" w:rsidTr="00273407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734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335 940 408,00</w:t>
                  </w:r>
                </w:p>
              </w:tc>
            </w:tr>
            <w:tr w:rsidR="00C93853" w:rsidRPr="00273407" w:rsidTr="00273407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853" w:rsidRPr="00273407" w:rsidRDefault="00C93853" w:rsidP="00C9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93853" w:rsidRPr="00273407" w:rsidRDefault="00C93853" w:rsidP="00C93853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D7CA5" w:rsidRPr="00273407" w:rsidTr="002D7CA5">
        <w:trPr>
          <w:gridAfter w:val="1"/>
          <w:wAfter w:w="7" w:type="dxa"/>
          <w:trHeight w:val="271"/>
        </w:trPr>
        <w:tc>
          <w:tcPr>
            <w:tcW w:w="3981" w:type="dxa"/>
            <w:vAlign w:val="bottom"/>
          </w:tcPr>
          <w:p w:rsidR="0023179F" w:rsidRPr="00273407" w:rsidRDefault="0023179F" w:rsidP="002D7CA5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Align w:val="bottom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3" w:type="dxa"/>
            <w:vAlign w:val="bottom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D7CA5" w:rsidRPr="00273407" w:rsidRDefault="002D7CA5" w:rsidP="002D7C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7CA5" w:rsidRPr="00273407" w:rsidRDefault="002D7CA5" w:rsidP="002D7CA5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07">
        <w:rPr>
          <w:rFonts w:ascii="Times New Roman" w:eastAsia="Calibri" w:hAnsi="Times New Roman" w:cs="Times New Roman"/>
          <w:sz w:val="28"/>
          <w:szCs w:val="28"/>
        </w:rPr>
        <w:t>Форма 0503121 «Отчет о финансовых результатах деятельности»</w:t>
      </w:r>
    </w:p>
    <w:p w:rsidR="002D7CA5" w:rsidRPr="00273407" w:rsidRDefault="002D7CA5" w:rsidP="002D7CA5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07">
        <w:rPr>
          <w:rFonts w:ascii="Times New Roman" w:eastAsia="Calibri" w:hAnsi="Times New Roman" w:cs="Times New Roman"/>
          <w:sz w:val="28"/>
          <w:szCs w:val="28"/>
        </w:rPr>
        <w:t>Показатели, отраженные</w:t>
      </w:r>
      <w:r w:rsidRPr="00273407">
        <w:rPr>
          <w:rFonts w:ascii="Times New Roman" w:hAnsi="Times New Roman" w:cs="Times New Roman"/>
          <w:sz w:val="28"/>
          <w:szCs w:val="28"/>
        </w:rPr>
        <w:t xml:space="preserve"> по строкам 400</w:t>
      </w:r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 «Расходы будущих периодов», 550 «Доходы будущих периодов» и 560 «Резервы предстоящих расходов» в разрезе кодов КОСГУ представлены в таблице:</w:t>
      </w: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1125"/>
        <w:gridCol w:w="1382"/>
        <w:gridCol w:w="5623"/>
        <w:gridCol w:w="1947"/>
      </w:tblGrid>
      <w:tr w:rsidR="002D7CA5" w:rsidRPr="00273407" w:rsidTr="002D7CA5">
        <w:trPr>
          <w:trHeight w:val="570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Style w:val="FontStyle13"/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56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счета</w:t>
            </w:r>
          </w:p>
        </w:tc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2D7CA5" w:rsidRPr="00273407" w:rsidTr="002D7CA5">
        <w:trPr>
          <w:trHeight w:val="570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79F" w:rsidRPr="00273407" w:rsidTr="002D7CA5">
        <w:trPr>
          <w:trHeight w:val="27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3179F" w:rsidRPr="00273407" w:rsidTr="002D7CA5">
        <w:trPr>
          <w:trHeight w:val="265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401.40 (Доходы будущих периодов)</w:t>
            </w:r>
          </w:p>
        </w:tc>
      </w:tr>
      <w:tr w:rsidR="0023179F" w:rsidRPr="00273407" w:rsidTr="002D7CA5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Доходы от операционной аренды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911372,45</w:t>
            </w:r>
          </w:p>
        </w:tc>
      </w:tr>
      <w:tr w:rsidR="0023179F" w:rsidRPr="00273407" w:rsidTr="002D7CA5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Доходы будущего периода (упущенная выгода)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-1791134,28</w:t>
            </w:r>
          </w:p>
        </w:tc>
      </w:tr>
      <w:tr w:rsidR="0023179F" w:rsidRPr="00273407" w:rsidTr="002D7CA5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Доходы будущего периода от аренды земельных участков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-910870,07</w:t>
            </w:r>
          </w:p>
        </w:tc>
      </w:tr>
      <w:tr w:rsidR="0023179F" w:rsidRPr="00273407" w:rsidTr="002D7CA5">
        <w:trPr>
          <w:trHeight w:val="265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по 401.40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-1790631,90</w:t>
            </w:r>
          </w:p>
        </w:tc>
      </w:tr>
      <w:tr w:rsidR="0023179F" w:rsidRPr="00273407" w:rsidTr="002D7CA5">
        <w:trPr>
          <w:trHeight w:val="265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401.50 (Расходы будущих периодов)</w:t>
            </w:r>
          </w:p>
        </w:tc>
      </w:tr>
      <w:tr w:rsidR="0023179F" w:rsidRPr="00273407" w:rsidTr="002D7CA5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Доходы будущего периода (упущенная выгода)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-1791134,28</w:t>
            </w:r>
          </w:p>
        </w:tc>
      </w:tr>
      <w:tr w:rsidR="0023179F" w:rsidRPr="00273407" w:rsidTr="002D7CA5">
        <w:trPr>
          <w:trHeight w:val="265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по 401.50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-1791134,28</w:t>
            </w:r>
          </w:p>
        </w:tc>
      </w:tr>
      <w:tr w:rsidR="0023179F" w:rsidRPr="00273407" w:rsidTr="002D7CA5">
        <w:trPr>
          <w:trHeight w:val="265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401.60 (Резервы предстоящих расходов)</w:t>
            </w:r>
          </w:p>
        </w:tc>
      </w:tr>
      <w:tr w:rsidR="0023179F" w:rsidRPr="00273407" w:rsidTr="002D7CA5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-96403,20</w:t>
            </w:r>
          </w:p>
        </w:tc>
      </w:tr>
      <w:tr w:rsidR="0023179F" w:rsidRPr="00273407" w:rsidTr="002D7CA5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-29113,78</w:t>
            </w:r>
          </w:p>
        </w:tc>
      </w:tr>
      <w:tr w:rsidR="0023179F" w:rsidRPr="00273407" w:rsidTr="002D7CA5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Лизинговые платежи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sz w:val="28"/>
                <w:szCs w:val="28"/>
              </w:rPr>
              <w:t>-161108,77</w:t>
            </w:r>
          </w:p>
        </w:tc>
      </w:tr>
      <w:tr w:rsidR="0023179F" w:rsidRPr="00273407" w:rsidTr="002D7CA5">
        <w:trPr>
          <w:trHeight w:val="289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34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по 401.60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2D7CA5" w:rsidRPr="00273407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3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-286625,75</w:t>
            </w:r>
          </w:p>
        </w:tc>
      </w:tr>
    </w:tbl>
    <w:p w:rsidR="002D7CA5" w:rsidRPr="00273407" w:rsidRDefault="002D7CA5" w:rsidP="002D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5E" w:rsidRPr="00273407" w:rsidRDefault="00520C5E" w:rsidP="002D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5E" w:rsidRPr="00273407" w:rsidRDefault="00520C5E" w:rsidP="002D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соответствии с требованиями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Минфина России от 29.09.2020 № 223н, в таблице раскрыты сведения о показателях бюджетной отчетности по сегментам за отчетный год</w:t>
      </w:r>
      <w:r w:rsidRPr="00273407">
        <w:rPr>
          <w:rFonts w:ascii="Times New Roman" w:hAnsi="Times New Roman" w:cs="Times New Roman"/>
          <w:sz w:val="28"/>
          <w:szCs w:val="28"/>
        </w:rPr>
        <w:t>.</w:t>
      </w:r>
    </w:p>
    <w:p w:rsidR="00520C5E" w:rsidRPr="00273407" w:rsidRDefault="00520C5E" w:rsidP="002D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3" w:type="dxa"/>
        <w:tblLayout w:type="fixed"/>
        <w:tblLook w:val="04A0" w:firstRow="1" w:lastRow="0" w:firstColumn="1" w:lastColumn="0" w:noHBand="0" w:noVBand="1"/>
      </w:tblPr>
      <w:tblGrid>
        <w:gridCol w:w="632"/>
        <w:gridCol w:w="3105"/>
        <w:gridCol w:w="1513"/>
        <w:gridCol w:w="1129"/>
        <w:gridCol w:w="1843"/>
        <w:gridCol w:w="1949"/>
        <w:gridCol w:w="12"/>
      </w:tblGrid>
      <w:tr w:rsidR="00520C5E" w:rsidRPr="00273407" w:rsidTr="00520C5E">
        <w:trPr>
          <w:trHeight w:val="300"/>
        </w:trPr>
        <w:tc>
          <w:tcPr>
            <w:tcW w:w="10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показателях по сегментам (бюджетные единицы)</w:t>
            </w:r>
          </w:p>
        </w:tc>
      </w:tr>
      <w:tr w:rsidR="00520C5E" w:rsidRPr="00273407" w:rsidTr="00520C5E">
        <w:trPr>
          <w:gridAfter w:val="1"/>
          <w:wAfter w:w="12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рубли</w:t>
            </w:r>
          </w:p>
        </w:tc>
      </w:tr>
      <w:tr w:rsidR="00520C5E" w:rsidRPr="00273407" w:rsidTr="00520C5E">
        <w:trPr>
          <w:gridAfter w:val="1"/>
          <w:wAfter w:w="12" w:type="dxa"/>
          <w:trHeight w:val="6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КОСГУ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01.01.2022 г.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01.01.2023 г.</w:t>
            </w:r>
          </w:p>
        </w:tc>
      </w:tr>
      <w:tr w:rsidR="00520C5E" w:rsidRPr="00273407" w:rsidTr="00520C5E">
        <w:trPr>
          <w:gridAfter w:val="1"/>
          <w:wAfter w:w="12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20C5E" w:rsidRPr="00273407" w:rsidTr="00520C5E">
        <w:trPr>
          <w:gridAfter w:val="1"/>
          <w:wAfter w:w="12" w:type="dxa"/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величина признанных доходов за период, а также показатели по следующим доходам: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CA40FB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-92031634,38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CA40FB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336921288,59</w:t>
            </w:r>
          </w:p>
        </w:tc>
      </w:tr>
      <w:tr w:rsidR="00520C5E" w:rsidRPr="00273407" w:rsidTr="00520C5E">
        <w:trPr>
          <w:gridAfter w:val="1"/>
          <w:wAfter w:w="12" w:type="dxa"/>
          <w:trHeight w:val="8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0C5E" w:rsidRPr="00273407" w:rsidTr="00520C5E">
        <w:trPr>
          <w:gridAfter w:val="1"/>
          <w:wAfter w:w="12" w:type="dxa"/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доходам от собственности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6160717,33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7776689,56</w:t>
            </w:r>
          </w:p>
        </w:tc>
      </w:tr>
      <w:tr w:rsidR="00520C5E" w:rsidRPr="00273407" w:rsidTr="00520C5E">
        <w:trPr>
          <w:gridAfter w:val="1"/>
          <w:wAfter w:w="12" w:type="dxa"/>
          <w:trHeight w:val="5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доходам от оказания платных услуг (работ), компенсаций затрат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0C5E" w:rsidRPr="00273407" w:rsidTr="00520C5E">
        <w:trPr>
          <w:gridAfter w:val="1"/>
          <w:wAfter w:w="12" w:type="dxa"/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межбюджетным трансфертам полученным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060, 070*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151, 161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0C5E" w:rsidRPr="00273407" w:rsidTr="00520C5E">
        <w:trPr>
          <w:gridAfter w:val="1"/>
          <w:wAfter w:w="12" w:type="dxa"/>
          <w:trHeight w:val="10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субсидиям, грантам, имущественным взносам полученным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060, 070*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15х, 16Х (за исключением 151, 161)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0C5E" w:rsidRPr="00273407" w:rsidTr="00520C5E">
        <w:trPr>
          <w:gridAfter w:val="1"/>
          <w:wAfter w:w="12" w:type="dxa"/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доходам от операций с активами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-107528119,08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-6814735,41</w:t>
            </w:r>
          </w:p>
        </w:tc>
      </w:tr>
      <w:tr w:rsidR="00520C5E" w:rsidRPr="00273407" w:rsidTr="00520C5E">
        <w:trPr>
          <w:gridAfter w:val="1"/>
          <w:wAfter w:w="12" w:type="dxa"/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CA40FB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13577126,41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CA40FB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223822478,28</w:t>
            </w:r>
          </w:p>
        </w:tc>
      </w:tr>
      <w:tr w:rsidR="00520C5E" w:rsidRPr="00273407" w:rsidTr="00520C5E">
        <w:trPr>
          <w:gridAfter w:val="1"/>
          <w:wAfter w:w="12" w:type="dxa"/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оплате труда, начислениям на выплаты по оплате труда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1998095,47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1871567,24</w:t>
            </w:r>
          </w:p>
        </w:tc>
      </w:tr>
      <w:tr w:rsidR="00520C5E" w:rsidRPr="00273407" w:rsidTr="00520C5E">
        <w:trPr>
          <w:gridAfter w:val="1"/>
          <w:wAfter w:w="12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оплате работ, услуг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2660330,52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2740308,24</w:t>
            </w:r>
          </w:p>
        </w:tc>
      </w:tr>
      <w:tr w:rsidR="00520C5E" w:rsidRPr="00273407" w:rsidTr="00520C5E">
        <w:trPr>
          <w:gridAfter w:val="1"/>
          <w:wAfter w:w="12" w:type="dxa"/>
          <w:trHeight w:val="5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обслуживанию государственного (муниципального) долга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0C5E" w:rsidRPr="00273407" w:rsidTr="00520C5E">
        <w:trPr>
          <w:gridAfter w:val="1"/>
          <w:wAfter w:w="12" w:type="dxa"/>
          <w:trHeight w:val="6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субсидиям, грантам, имущественным взносам предоставленным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1018278,06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1073833,28</w:t>
            </w:r>
          </w:p>
        </w:tc>
      </w:tr>
      <w:tr w:rsidR="00520C5E" w:rsidRPr="00273407" w:rsidTr="00520C5E">
        <w:trPr>
          <w:gridAfter w:val="1"/>
          <w:wAfter w:w="12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межбюджетным трансфертам предоставленным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172459,12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0C5E" w:rsidRPr="00273407" w:rsidTr="00520C5E">
        <w:trPr>
          <w:gridAfter w:val="1"/>
          <w:wAfter w:w="12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социальному обеспечению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3141818,68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1023294,72</w:t>
            </w:r>
          </w:p>
        </w:tc>
      </w:tr>
      <w:tr w:rsidR="00520C5E" w:rsidRPr="00273407" w:rsidTr="00520C5E">
        <w:trPr>
          <w:gridAfter w:val="1"/>
          <w:wAfter w:w="12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операциям с активами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299559,87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442048,43</w:t>
            </w:r>
          </w:p>
        </w:tc>
      </w:tr>
      <w:tr w:rsidR="00520C5E" w:rsidRPr="00273407" w:rsidTr="00520C5E">
        <w:trPr>
          <w:gridAfter w:val="1"/>
          <w:wAfter w:w="12" w:type="dxa"/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налогам, пошлинам, сборам и иным обязательным платежам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91451,77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40860,48</w:t>
            </w:r>
          </w:p>
        </w:tc>
      </w:tr>
      <w:tr w:rsidR="00520C5E" w:rsidRPr="00273407" w:rsidTr="00520C5E">
        <w:trPr>
          <w:gridAfter w:val="1"/>
          <w:wAfter w:w="12" w:type="dxa"/>
          <w:trHeight w:val="12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CA40FB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518189366,48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CA40FB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628537497,37</w:t>
            </w:r>
          </w:p>
        </w:tc>
      </w:tr>
      <w:tr w:rsidR="00520C5E" w:rsidRPr="00273407" w:rsidTr="00520C5E">
        <w:trPr>
          <w:gridAfter w:val="1"/>
          <w:wAfter w:w="12" w:type="dxa"/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недвижимому имуществу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011, 012, 013***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0C5E" w:rsidRPr="00273407" w:rsidTr="00520C5E">
        <w:trPr>
          <w:gridAfter w:val="1"/>
          <w:wAfter w:w="12" w:type="dxa"/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непроизведенным активам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73508276,24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73508276,24</w:t>
            </w:r>
          </w:p>
        </w:tc>
      </w:tr>
      <w:tr w:rsidR="00520C5E" w:rsidRPr="00273407" w:rsidTr="00520C5E">
        <w:trPr>
          <w:gridAfter w:val="1"/>
          <w:wAfter w:w="12" w:type="dxa"/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имуществу, составляющему </w:t>
            </w: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государственную (муниципальную) казну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430643674,80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541653750,80</w:t>
            </w:r>
          </w:p>
        </w:tc>
      </w:tr>
      <w:tr w:rsidR="00520C5E" w:rsidRPr="00273407" w:rsidTr="00520C5E">
        <w:trPr>
          <w:gridAfter w:val="1"/>
          <w:wAfter w:w="12" w:type="dxa"/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денежным средствам учреждения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5436,00</w:t>
            </w:r>
          </w:p>
        </w:tc>
      </w:tr>
      <w:tr w:rsidR="00520C5E" w:rsidRPr="00273407" w:rsidTr="00520C5E">
        <w:trPr>
          <w:gridAfter w:val="1"/>
          <w:wAfter w:w="12" w:type="dxa"/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финансовым вложениям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5100,00</w:t>
            </w:r>
          </w:p>
        </w:tc>
      </w:tr>
      <w:tr w:rsidR="00520C5E" w:rsidRPr="00273407" w:rsidTr="00520C5E">
        <w:trPr>
          <w:gridAfter w:val="1"/>
          <w:wAfter w:w="12" w:type="dxa"/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расчетам по доходам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11874462,18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13099229,89</w:t>
            </w:r>
          </w:p>
        </w:tc>
      </w:tr>
      <w:tr w:rsidR="00520C5E" w:rsidRPr="00273407" w:rsidTr="00520C5E">
        <w:trPr>
          <w:gridAfter w:val="1"/>
          <w:wAfter w:w="12" w:type="dxa"/>
          <w:trHeight w:val="6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расчетам по предоставленным кредитам, займам (ссудам)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0C5E" w:rsidRPr="00273407" w:rsidTr="00520C5E">
        <w:trPr>
          <w:gridAfter w:val="1"/>
          <w:wAfter w:w="12" w:type="dxa"/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CA40FB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13625556,38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CA40FB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11736907,28</w:t>
            </w:r>
          </w:p>
        </w:tc>
      </w:tr>
      <w:tr w:rsidR="00520C5E" w:rsidRPr="00273407" w:rsidTr="00520C5E">
        <w:trPr>
          <w:gridAfter w:val="1"/>
          <w:wAfter w:w="12" w:type="dxa"/>
          <w:trHeight w:val="6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расчетам с кредиторами по долговым обязательствам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0C5E" w:rsidRPr="00273407" w:rsidTr="00520C5E">
        <w:trPr>
          <w:gridAfter w:val="1"/>
          <w:wAfter w:w="12" w:type="dxa"/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прочим расчетам с кредиторами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 430, 470**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173261,34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379027,89</w:t>
            </w:r>
          </w:p>
        </w:tc>
      </w:tr>
      <w:tr w:rsidR="00520C5E" w:rsidRPr="00273407" w:rsidTr="00520C5E">
        <w:trPr>
          <w:gridAfter w:val="1"/>
          <w:wAfter w:w="12" w:type="dxa"/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расчетам по платежам в бюджеты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420**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17158,00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0C5E" w:rsidRPr="00273407" w:rsidTr="00520C5E">
        <w:trPr>
          <w:gridAfter w:val="1"/>
          <w:wAfter w:w="12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5E" w:rsidRPr="00273407" w:rsidTr="00520C5E">
        <w:trPr>
          <w:gridAfter w:val="1"/>
          <w:wAfter w:w="12" w:type="dxa"/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5E" w:rsidRPr="00273407" w:rsidTr="00520C5E">
        <w:trPr>
          <w:trHeight w:val="54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C5E" w:rsidRPr="00273407" w:rsidTr="00520C5E">
        <w:trPr>
          <w:gridAfter w:val="1"/>
          <w:wAfter w:w="12" w:type="dxa"/>
          <w:trHeight w:val="8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273407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0C5E" w:rsidRPr="00273407" w:rsidRDefault="00520C5E" w:rsidP="002D7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7CA5" w:rsidRPr="00273407" w:rsidRDefault="002D7CA5" w:rsidP="002D7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 5</w:t>
      </w:r>
      <w:proofErr w:type="gramEnd"/>
      <w:r w:rsidRPr="0027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«ПРОЧИЕ ВОПРОСЫ ДЕЯТЕЛЬНОСТИ СУБЪЕКТА БЮДЖЕТНОЙ ОТЧЕТНОСТИ».</w:t>
      </w:r>
    </w:p>
    <w:p w:rsidR="002D7CA5" w:rsidRPr="00273407" w:rsidRDefault="002D7CA5" w:rsidP="002D7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CA5" w:rsidRPr="00273407" w:rsidRDefault="00273407" w:rsidP="002D7CA5">
      <w:pPr>
        <w:pStyle w:val="Style8"/>
        <w:widowControl/>
        <w:spacing w:line="240" w:lineRule="auto"/>
        <w:ind w:firstLine="709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273407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proofErr w:type="gramStart"/>
      <w:r w:rsidRPr="00273407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Формирование </w:t>
      </w:r>
      <w:r w:rsidR="002D7CA5" w:rsidRPr="00273407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бюджетной</w:t>
      </w:r>
      <w:proofErr w:type="gramEnd"/>
      <w:r w:rsidR="002D7CA5" w:rsidRPr="00273407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отчетности осуществляется в соответствии с:</w:t>
      </w:r>
    </w:p>
    <w:p w:rsidR="002D7CA5" w:rsidRPr="00273407" w:rsidRDefault="00F30833" w:rsidP="002D7CA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Инструкцией </w:t>
      </w:r>
      <w:r w:rsidR="002D7CA5" w:rsidRPr="00273407">
        <w:rPr>
          <w:rFonts w:ascii="Times New Roman" w:hAnsi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 191н);</w:t>
      </w:r>
    </w:p>
    <w:p w:rsidR="002D7CA5" w:rsidRPr="00273407" w:rsidRDefault="002D7CA5" w:rsidP="002D7CA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73407">
        <w:rPr>
          <w:rFonts w:ascii="Times New Roman" w:hAnsi="Times New Roman"/>
          <w:sz w:val="28"/>
          <w:szCs w:val="28"/>
        </w:rPr>
        <w:t>– Порядка формирования и применения кодов бюджетной классификации Российской Федерации, их структуре и принципов назначения, утвержденного приказом Министерства финансов Российской Федерации от 06.06.2019 № 85н (далее – Приказ № 85н);</w:t>
      </w:r>
    </w:p>
    <w:p w:rsidR="002D7CA5" w:rsidRPr="00273407" w:rsidRDefault="002D7CA5" w:rsidP="002D7CA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73407">
        <w:rPr>
          <w:rFonts w:ascii="Times New Roman" w:hAnsi="Times New Roman"/>
          <w:sz w:val="28"/>
          <w:szCs w:val="28"/>
        </w:rPr>
        <w:lastRenderedPageBreak/>
        <w:t>–Порядка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 (далее - Приказ № 209н);</w:t>
      </w:r>
    </w:p>
    <w:p w:rsidR="002D7CA5" w:rsidRPr="00273407" w:rsidRDefault="002D7CA5" w:rsidP="002D7CA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73407">
        <w:rPr>
          <w:rFonts w:ascii="Times New Roman" w:hAnsi="Times New Roman"/>
          <w:sz w:val="28"/>
          <w:szCs w:val="28"/>
        </w:rPr>
        <w:t>- Кодов (перечней кодов) бюджетной классификации Российской Федерации на 202</w:t>
      </w:r>
      <w:r w:rsidR="00A5374B" w:rsidRPr="00273407">
        <w:rPr>
          <w:rFonts w:ascii="Times New Roman" w:hAnsi="Times New Roman"/>
          <w:sz w:val="28"/>
          <w:szCs w:val="28"/>
        </w:rPr>
        <w:t xml:space="preserve">2 год (на 2022 год </w:t>
      </w:r>
      <w:proofErr w:type="gramStart"/>
      <w:r w:rsidR="00A5374B" w:rsidRPr="00273407">
        <w:rPr>
          <w:rFonts w:ascii="Times New Roman" w:hAnsi="Times New Roman"/>
          <w:sz w:val="28"/>
          <w:szCs w:val="28"/>
        </w:rPr>
        <w:t>и  на</w:t>
      </w:r>
      <w:proofErr w:type="gramEnd"/>
      <w:r w:rsidR="00A5374B" w:rsidRPr="00273407">
        <w:rPr>
          <w:rFonts w:ascii="Times New Roman" w:hAnsi="Times New Roman"/>
          <w:sz w:val="28"/>
          <w:szCs w:val="28"/>
        </w:rPr>
        <w:t xml:space="preserve"> плановый период 2023 и 2024</w:t>
      </w:r>
      <w:r w:rsidRPr="00273407">
        <w:rPr>
          <w:rFonts w:ascii="Times New Roman" w:hAnsi="Times New Roman"/>
          <w:sz w:val="28"/>
          <w:szCs w:val="28"/>
        </w:rPr>
        <w:t xml:space="preserve"> годов), утвержденных приказом Министерства финансов Ро</w:t>
      </w:r>
      <w:r w:rsidR="00A5374B" w:rsidRPr="00273407">
        <w:rPr>
          <w:rFonts w:ascii="Times New Roman" w:hAnsi="Times New Roman"/>
          <w:sz w:val="28"/>
          <w:szCs w:val="28"/>
        </w:rPr>
        <w:t>ссийской Федерации от 08.06.2021 № 75</w:t>
      </w:r>
      <w:r w:rsidRPr="00273407">
        <w:rPr>
          <w:rFonts w:ascii="Times New Roman" w:hAnsi="Times New Roman"/>
          <w:sz w:val="28"/>
          <w:szCs w:val="28"/>
        </w:rPr>
        <w:t>н);</w:t>
      </w:r>
    </w:p>
    <w:p w:rsidR="00A5374B" w:rsidRPr="00273407" w:rsidRDefault="00A5374B" w:rsidP="00A5374B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2022 году</w:t>
      </w:r>
    </w:p>
    <w:p w:rsidR="00A5374B" w:rsidRPr="00273407" w:rsidRDefault="00A5374B" w:rsidP="00A5374B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>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2022 год и плановый период 2023 и 2024 годов</w:t>
      </w:r>
    </w:p>
    <w:p w:rsidR="00A5374B" w:rsidRPr="00273407" w:rsidRDefault="00A5374B" w:rsidP="00A5374B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Таблицы соответствия аналитической группы подвида доходов бюджетов и статей (подстатей) классификации операций сектора государственного управления, </w:t>
      </w:r>
    </w:p>
    <w:p w:rsidR="00A5374B" w:rsidRPr="00273407" w:rsidRDefault="00A5374B" w:rsidP="00A5374B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применяемой в 2022 году в целях бухгалтерского (бюджетного) учета при безвозмездных </w:t>
      </w:r>
      <w:proofErr w:type="spellStart"/>
      <w:r w:rsidRPr="00273407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273407">
        <w:rPr>
          <w:rFonts w:ascii="Times New Roman" w:hAnsi="Times New Roman" w:cs="Times New Roman"/>
          <w:sz w:val="28"/>
          <w:szCs w:val="28"/>
        </w:rPr>
        <w:t xml:space="preserve"> передачах.</w:t>
      </w:r>
    </w:p>
    <w:p w:rsidR="00A5374B" w:rsidRPr="00273407" w:rsidRDefault="00A5374B" w:rsidP="00A5374B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2022 году в целях бухгалтерского (бюджетного) учета при безвозмездных </w:t>
      </w:r>
      <w:proofErr w:type="spellStart"/>
      <w:r w:rsidRPr="00273407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273407">
        <w:rPr>
          <w:rFonts w:ascii="Times New Roman" w:hAnsi="Times New Roman" w:cs="Times New Roman"/>
          <w:sz w:val="28"/>
          <w:szCs w:val="28"/>
        </w:rPr>
        <w:t xml:space="preserve"> передачах</w:t>
      </w:r>
    </w:p>
    <w:p w:rsidR="00A5374B" w:rsidRPr="00273407" w:rsidRDefault="00A5374B" w:rsidP="00A5374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73407">
        <w:rPr>
          <w:rFonts w:ascii="Times New Roman" w:hAnsi="Times New Roman"/>
          <w:sz w:val="28"/>
          <w:szCs w:val="28"/>
        </w:rPr>
        <w:t>Таблицы соответствия кодов классификации доходов и статей (подстатей) КОСГУ кодам классификации доходов, установленным Руководством по статистике государственных финансов (СФГ-2014), применяемой с 01 января 2022</w:t>
      </w:r>
    </w:p>
    <w:p w:rsidR="00A5374B" w:rsidRPr="00273407" w:rsidRDefault="00A5374B" w:rsidP="002D7CA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CA5" w:rsidRPr="00273407" w:rsidRDefault="002D7CA5" w:rsidP="002D7CA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73407">
        <w:rPr>
          <w:rFonts w:ascii="Times New Roman" w:hAnsi="Times New Roman"/>
          <w:sz w:val="28"/>
          <w:szCs w:val="28"/>
        </w:rPr>
        <w:t xml:space="preserve">– Федеральных </w:t>
      </w:r>
      <w:hyperlink r:id="rId24" w:history="1">
        <w:r w:rsidRPr="00273407">
          <w:rPr>
            <w:rFonts w:ascii="Times New Roman" w:hAnsi="Times New Roman"/>
            <w:sz w:val="28"/>
            <w:szCs w:val="28"/>
          </w:rPr>
          <w:t>стандарт</w:t>
        </w:r>
      </w:hyperlink>
      <w:r w:rsidRPr="00273407">
        <w:rPr>
          <w:rFonts w:ascii="Times New Roman" w:hAnsi="Times New Roman"/>
          <w:sz w:val="28"/>
          <w:szCs w:val="28"/>
        </w:rPr>
        <w:t>ов бухгалтерского учета для организаций государственного сектора;</w:t>
      </w:r>
    </w:p>
    <w:p w:rsidR="00273407" w:rsidRPr="00273407" w:rsidRDefault="00273407" w:rsidP="002D7CA5">
      <w:pPr>
        <w:pStyle w:val="a9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7CA5" w:rsidRPr="00273407" w:rsidRDefault="002D7CA5" w:rsidP="002D7CA5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73407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</w:t>
      </w:r>
      <w:r w:rsidR="00955A6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алтерского) учета и отчетности</w:t>
      </w:r>
      <w:proofErr w:type="gramStart"/>
      <w:r w:rsidR="00955A6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 w:rsidRPr="00273407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73407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73407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«WEB-консолидация».</w:t>
      </w:r>
    </w:p>
    <w:p w:rsidR="002D7CA5" w:rsidRPr="00273407" w:rsidRDefault="002D7CA5" w:rsidP="002D7CA5">
      <w:pPr>
        <w:pStyle w:val="Style8"/>
        <w:widowControl/>
        <w:spacing w:before="77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2D7CA5" w:rsidRPr="00273407" w:rsidRDefault="002D7CA5" w:rsidP="002D7C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2022 году Контрольно-счетной палатой </w:t>
      </w:r>
      <w:proofErr w:type="spell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proofErr w:type="spell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проведена внешняя проверка бюджетной отчетности главного администратора доходов Комитета по управлению имуществом </w:t>
      </w:r>
      <w:proofErr w:type="spell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proofErr w:type="spell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за 2021 год.</w:t>
      </w:r>
    </w:p>
    <w:p w:rsidR="002D7CA5" w:rsidRPr="00273407" w:rsidRDefault="002D7CA5" w:rsidP="002D7C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 результатам проверки годовой отчетности за 2021 год согласно акт проверки от 18 марта 2022 года № 5 годовая бюджетная отчетность за 2021 год призна</w:t>
      </w:r>
      <w:r w:rsidR="00743DB2"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43DB2"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достоверной, искажений отчет</w:t>
      </w: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не выявлено. Контрольные </w:t>
      </w:r>
      <w:proofErr w:type="gram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соотношения  между</w:t>
      </w:r>
      <w:proofErr w:type="gram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показателями форм годовой бюджетной отчетности главным распорядителем бюджетных средств соблюдены.  Однако выявлены нарушения общих требований к учету и отчетности, не повлиявшие на ее достоверность. Пояснительная записка не содержит достоверную, полную информацию о финансовом положении экономического субъекта на отчетную дату.</w:t>
      </w:r>
    </w:p>
    <w:p w:rsidR="002D7CA5" w:rsidRPr="00273407" w:rsidRDefault="002D7CA5" w:rsidP="002D7C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CA5" w:rsidRPr="00273407" w:rsidRDefault="002D7CA5" w:rsidP="002D7C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2021 году с 19 ноября по 24 декабря 2021 года финансовым управление</w:t>
      </w:r>
      <w:r w:rsidR="00955A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proofErr w:type="spell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проведена проверка исполнения бюджетных полномочий по администрированию доходов бюджета </w:t>
      </w:r>
      <w:proofErr w:type="spell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proofErr w:type="spell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за 2020 год, январь-сентябрь 2021 года.</w:t>
      </w:r>
    </w:p>
    <w:p w:rsidR="002D7CA5" w:rsidRPr="00273407" w:rsidRDefault="002D7CA5" w:rsidP="002D7C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Согласно акта камеральной проверки от 13.01.2022 года выявлены нарушения:</w:t>
      </w:r>
    </w:p>
    <w:p w:rsidR="002D7CA5" w:rsidRPr="00273407" w:rsidRDefault="002D7CA5" w:rsidP="002D7CA5">
      <w:pPr>
        <w:pStyle w:val="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нарушении Методики определения размера оплаты за пользование жилым помещением (плата за наем) для нанимателей жилых помещений по договорам социального найма жилых помещений и по договорам найма жилых помещений муниципального жилого фонда ставки платы за наем жилья в муниципальном жилом фонде, утвержденные постановлением администрации </w:t>
      </w:r>
      <w:proofErr w:type="spell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proofErr w:type="spell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23.01.2020 года № 25 рассчитаны без использования вышеуказанной Методики определения размера платы.</w:t>
      </w:r>
    </w:p>
    <w:p w:rsidR="002D7CA5" w:rsidRPr="00273407" w:rsidRDefault="002D7CA5" w:rsidP="002D7CA5">
      <w:pPr>
        <w:pStyle w:val="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нарушении ст.160.1 Бюджетного кодекса РФ Комитетом по управлению имуществом </w:t>
      </w:r>
      <w:proofErr w:type="gram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74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начислены</w:t>
      </w:r>
      <w:proofErr w:type="gram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пени за несвоевременное перечисление платежей за жилые помещения по договорам социального найма в проверяемом периоде по 220 договорам, договора не содержат пунктов о начислении пени в случае несвоевременной оплаты по договору социального найма жилого помещения, приняты недостаточные меры по взысканию задолженности в бюджет района по платежам за жилые помещения по договорам социального найма.</w:t>
      </w:r>
    </w:p>
    <w:p w:rsidR="002D7CA5" w:rsidRPr="00273407" w:rsidRDefault="002D7CA5" w:rsidP="002D7CA5">
      <w:pPr>
        <w:pStyle w:val="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нарушении условий п.4.2. заключенных договоров социального найма жилого помещения, не заключено дополнительное соглашение в связи с изменением размера платы за наем жилого помещения с 01.02.2021 года (ставки платы за наем жилья были увеличены постановлением администрации </w:t>
      </w:r>
      <w:proofErr w:type="spell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proofErr w:type="spell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23.01.2020 года № 25 «Об установлении размера платы за жилое помещение по договорам социального найма») по всем договорам.</w:t>
      </w:r>
    </w:p>
    <w:p w:rsidR="002D7CA5" w:rsidRPr="00273407" w:rsidRDefault="002D7CA5" w:rsidP="002D7CA5">
      <w:pPr>
        <w:pStyle w:val="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применения неправильных ставок арендной платы за земельные участки при расчете арендной платы по договорам аренды в 2020 году в районный бюджет недополучено доходов в сумме 61597,30 руб. (КБК 04011105013050000120).</w:t>
      </w:r>
    </w:p>
    <w:p w:rsidR="002D7CA5" w:rsidRPr="00273407" w:rsidRDefault="002D7CA5" w:rsidP="002D7CA5">
      <w:pPr>
        <w:pStyle w:val="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нарушении п.3.1.11 договоров аренды земельных участков не прилагается новый расчет арендной платы при смене суммы арендной платы (приложение </w:t>
      </w: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 к договору аренды), которая должна вноситься не позднее 30 ноября расчетного года.</w:t>
      </w:r>
    </w:p>
    <w:p w:rsidR="002D7CA5" w:rsidRPr="00273407" w:rsidRDefault="002D7CA5" w:rsidP="002D7CA5">
      <w:pPr>
        <w:pStyle w:val="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нарушении п.2 ст. 160.1 Бюджетного кодекса РФ и условий договоров аренды Комитетом по управлению имуществом не начислены пени за несвоевременное перечисление платежей по договорам аренды земельных участков в проверяемом периоде по 15 договорам на общую сумму 297498,62 руб.</w:t>
      </w:r>
    </w:p>
    <w:p w:rsidR="002D7CA5" w:rsidRPr="00273407" w:rsidRDefault="002D7CA5" w:rsidP="002D7CA5">
      <w:pPr>
        <w:pStyle w:val="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нарушении п.200 Инструкции № 157н Комитетом по управлению имуществом не ведется ни аналитический учет в разрезе арендаторов земельных участков, арендаторов имущества, нанимателей жилых помещений социального найма, покупателей земельных участков и имущества, ни персонифицированный учет в разрезе плательщиков данных доходов, а также не проводиться на постоянной основе в целях формирования  отчетных данных сверка персонифицированных данных Комитета по управлению имуществом и данных об объектах учета, отраженных на балансовых счетах бюджетного учета. В результате отсутствия сверки данных персонифицированного учета Комитета по управлению имуществом с данными бюджетного учета по договорам купли-продажи земельных участков допущены нарушения в 2020 году на сумму 24709,58 руб. (КБК 04011406013000000430).</w:t>
      </w:r>
    </w:p>
    <w:p w:rsidR="002D7CA5" w:rsidRPr="00273407" w:rsidRDefault="002D7CA5" w:rsidP="002D7CA5">
      <w:pPr>
        <w:pStyle w:val="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нарушении ст.160.1 Бюджетного Кодекса РФ Комитетом по управлению имуществом не приняты меры по оформлению арендных отношений по 680 земельным участкам (общей площадью 974390 </w:t>
      </w:r>
      <w:proofErr w:type="spellStart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м.кв</w:t>
      </w:r>
      <w:proofErr w:type="spellEnd"/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2D7CA5" w:rsidRPr="00273407" w:rsidRDefault="002D7CA5" w:rsidP="002D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положениях учетной политики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58"/>
        <w:gridCol w:w="2060"/>
        <w:gridCol w:w="3139"/>
        <w:gridCol w:w="2347"/>
      </w:tblGrid>
      <w:tr w:rsidR="002D7CA5" w:rsidRPr="00273407" w:rsidTr="002D7CA5">
        <w:tc>
          <w:tcPr>
            <w:tcW w:w="2268" w:type="dxa"/>
            <w:vMerge w:val="restart"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Наименование  объекта учета</w:t>
            </w:r>
          </w:p>
        </w:tc>
        <w:tc>
          <w:tcPr>
            <w:tcW w:w="1701" w:type="dxa"/>
            <w:vMerge w:val="restart"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Код счета бухгалтерского учета</w:t>
            </w:r>
          </w:p>
        </w:tc>
        <w:tc>
          <w:tcPr>
            <w:tcW w:w="5494" w:type="dxa"/>
            <w:gridSpan w:val="2"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Метод оценки и момент отражения операции в учете</w:t>
            </w:r>
          </w:p>
        </w:tc>
      </w:tr>
      <w:tr w:rsidR="002D7CA5" w:rsidRPr="00273407" w:rsidTr="002D7CA5">
        <w:tc>
          <w:tcPr>
            <w:tcW w:w="2268" w:type="dxa"/>
            <w:vMerge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Способ ведения</w:t>
            </w:r>
          </w:p>
        </w:tc>
        <w:tc>
          <w:tcPr>
            <w:tcW w:w="2315" w:type="dxa"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Характеристика</w:t>
            </w:r>
          </w:p>
        </w:tc>
      </w:tr>
      <w:tr w:rsidR="002D7CA5" w:rsidRPr="00273407" w:rsidTr="002D7CA5">
        <w:tc>
          <w:tcPr>
            <w:tcW w:w="2268" w:type="dxa"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2</w:t>
            </w:r>
          </w:p>
        </w:tc>
        <w:tc>
          <w:tcPr>
            <w:tcW w:w="3179" w:type="dxa"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3</w:t>
            </w:r>
          </w:p>
        </w:tc>
        <w:tc>
          <w:tcPr>
            <w:tcW w:w="2315" w:type="dxa"/>
          </w:tcPr>
          <w:p w:rsidR="002D7CA5" w:rsidRPr="00273407" w:rsidRDefault="002D7CA5" w:rsidP="002D7C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4</w:t>
            </w:r>
          </w:p>
        </w:tc>
      </w:tr>
      <w:tr w:rsidR="002D7CA5" w:rsidRPr="00273407" w:rsidTr="002D7CA5">
        <w:tc>
          <w:tcPr>
            <w:tcW w:w="2268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D7CA5" w:rsidRPr="00273407" w:rsidTr="002D7CA5">
        <w:tc>
          <w:tcPr>
            <w:tcW w:w="2268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701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0 101 00 000</w:t>
            </w:r>
          </w:p>
        </w:tc>
        <w:tc>
          <w:tcPr>
            <w:tcW w:w="3179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2315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</w:tr>
      <w:tr w:rsidR="002D7CA5" w:rsidRPr="00273407" w:rsidTr="002D7CA5">
        <w:tc>
          <w:tcPr>
            <w:tcW w:w="2268" w:type="dxa"/>
            <w:vMerge w:val="restart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lastRenderedPageBreak/>
              <w:t>Амортизация</w:t>
            </w:r>
          </w:p>
        </w:tc>
        <w:tc>
          <w:tcPr>
            <w:tcW w:w="1701" w:type="dxa"/>
            <w:vMerge w:val="restart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0 104 00 000</w:t>
            </w:r>
          </w:p>
        </w:tc>
        <w:tc>
          <w:tcPr>
            <w:tcW w:w="3179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2315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Линейный метод</w:t>
            </w:r>
          </w:p>
        </w:tc>
      </w:tr>
      <w:tr w:rsidR="002D7CA5" w:rsidRPr="00273407" w:rsidTr="002D7CA5">
        <w:tc>
          <w:tcPr>
            <w:tcW w:w="2268" w:type="dxa"/>
            <w:vMerge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2315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</w:tr>
      <w:tr w:rsidR="002D7CA5" w:rsidRPr="00273407" w:rsidTr="002D7CA5">
        <w:tc>
          <w:tcPr>
            <w:tcW w:w="2268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Материальные запасы</w:t>
            </w:r>
          </w:p>
        </w:tc>
        <w:tc>
          <w:tcPr>
            <w:tcW w:w="1701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0 105 00 000</w:t>
            </w:r>
          </w:p>
        </w:tc>
        <w:tc>
          <w:tcPr>
            <w:tcW w:w="3179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2315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По средней фактической стоимости</w:t>
            </w:r>
          </w:p>
        </w:tc>
      </w:tr>
      <w:tr w:rsidR="002D7CA5" w:rsidRPr="00273407" w:rsidTr="002D7CA5">
        <w:tc>
          <w:tcPr>
            <w:tcW w:w="2268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701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21</w:t>
            </w:r>
          </w:p>
        </w:tc>
        <w:tc>
          <w:tcPr>
            <w:tcW w:w="3179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Учет</w:t>
            </w:r>
          </w:p>
        </w:tc>
        <w:tc>
          <w:tcPr>
            <w:tcW w:w="2315" w:type="dxa"/>
          </w:tcPr>
          <w:p w:rsidR="002D7CA5" w:rsidRPr="00273407" w:rsidRDefault="002D7CA5" w:rsidP="002D7C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3407">
              <w:rPr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</w:tbl>
    <w:p w:rsidR="002D7CA5" w:rsidRPr="00273407" w:rsidRDefault="002D7CA5" w:rsidP="002D7C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CA5" w:rsidRPr="00273407" w:rsidRDefault="002D7CA5" w:rsidP="002D7CA5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color w:val="000000"/>
          <w:sz w:val="28"/>
          <w:szCs w:val="28"/>
        </w:rPr>
        <w:t>Перед составлением годовой отчетности п</w:t>
      </w:r>
      <w:r w:rsidRPr="00273407">
        <w:rPr>
          <w:rFonts w:ascii="Times New Roman" w:hAnsi="Times New Roman" w:cs="Times New Roman"/>
          <w:sz w:val="28"/>
          <w:szCs w:val="28"/>
        </w:rPr>
        <w:t xml:space="preserve">о распоряжению Комитета по управлению имуществом администрации </w:t>
      </w:r>
      <w:proofErr w:type="spellStart"/>
      <w:r w:rsidRPr="00273407">
        <w:rPr>
          <w:rFonts w:ascii="Times New Roman" w:hAnsi="Times New Roman" w:cs="Times New Roman"/>
          <w:sz w:val="28"/>
          <w:szCs w:val="28"/>
        </w:rPr>
        <w:t>Нюксенс</w:t>
      </w:r>
      <w:r w:rsidR="00DC2B25" w:rsidRPr="0027340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C2B25" w:rsidRPr="00273407">
        <w:rPr>
          <w:rFonts w:ascii="Times New Roman" w:hAnsi="Times New Roman" w:cs="Times New Roman"/>
          <w:sz w:val="28"/>
          <w:szCs w:val="28"/>
        </w:rPr>
        <w:t xml:space="preserve"> муниципального района от 15 ноября 2022 года № 242</w:t>
      </w:r>
      <w:r w:rsidRPr="00273407">
        <w:rPr>
          <w:rFonts w:ascii="Times New Roman" w:hAnsi="Times New Roman" w:cs="Times New Roman"/>
          <w:sz w:val="28"/>
          <w:szCs w:val="28"/>
        </w:rPr>
        <w:t xml:space="preserve"> проведена инвентаризация нефинансовых активов, финансовых активов и обязательств, расхождений не выявлено.</w:t>
      </w:r>
    </w:p>
    <w:p w:rsidR="002D7CA5" w:rsidRPr="00273407" w:rsidRDefault="002D7CA5" w:rsidP="002D7CA5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D7CA5" w:rsidRPr="00273407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форма 0503296 "Сведения об исполнении судебных решений по денежным обязательствам бюджета».</w:t>
      </w:r>
    </w:p>
    <w:p w:rsidR="002D7CA5" w:rsidRPr="00273407" w:rsidRDefault="002D7CA5" w:rsidP="002D7CA5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07">
        <w:rPr>
          <w:rFonts w:ascii="Times New Roman" w:eastAsia="Calibri" w:hAnsi="Times New Roman" w:cs="Times New Roman"/>
          <w:sz w:val="28"/>
          <w:szCs w:val="28"/>
        </w:rPr>
        <w:t>В форме отражены принятые и исполненные денежные обязательства по исполнительному документу № 13-59/2021 от 16.12.2021 по судебным расходам Колупаевой Татьяне Петровне в сумме 21760,08 руб.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CA5" w:rsidRPr="00273407" w:rsidRDefault="002D7CA5" w:rsidP="002D7C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годовой отчетности не представлены следующие формы и таблицы: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407">
        <w:rPr>
          <w:rFonts w:ascii="Times New Roman" w:hAnsi="Times New Roman" w:cs="Times New Roman"/>
          <w:bCs/>
          <w:sz w:val="28"/>
          <w:szCs w:val="28"/>
        </w:rPr>
        <w:t xml:space="preserve"> - форма 0503167 «Сведения о целевых иностранных кредитах»;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0503172 «Сведения о гос. (муниципальном) долге»;</w:t>
      </w:r>
    </w:p>
    <w:p w:rsidR="00DC2B25" w:rsidRPr="00273407" w:rsidRDefault="002D7CA5" w:rsidP="00273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форма 0503173 «Сведения об изменениях валюты баланса»</w:t>
      </w:r>
    </w:p>
    <w:p w:rsidR="00273407" w:rsidRPr="00273407" w:rsidRDefault="002D7CA5" w:rsidP="002734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 - форма 0503190 «Сведения о вложениях в объекты недвижимого имущества, объектах</w:t>
      </w:r>
      <w:r w:rsidR="00273407" w:rsidRPr="00273407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строительства»;</w:t>
      </w:r>
    </w:p>
    <w:p w:rsidR="002D7CA5" w:rsidRPr="00273407" w:rsidRDefault="002D7CA5" w:rsidP="002734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407">
        <w:rPr>
          <w:rFonts w:ascii="Times New Roman" w:hAnsi="Times New Roman" w:cs="Times New Roman"/>
          <w:sz w:val="28"/>
          <w:szCs w:val="28"/>
        </w:rPr>
        <w:t xml:space="preserve">- форма 0503324 </w:t>
      </w: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>«Отчет об исполнении межбюджетных трансфертов из федерального бюджета субъекта РФ. МО и ТГВФ»</w:t>
      </w:r>
    </w:p>
    <w:p w:rsidR="002D7CA5" w:rsidRPr="00273407" w:rsidRDefault="002D7CA5" w:rsidP="0027340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таблица № 3 «Сведения об исполнении текстовых статей»;</w:t>
      </w:r>
    </w:p>
    <w:p w:rsidR="002D7CA5" w:rsidRPr="00273407" w:rsidRDefault="002D7CA5" w:rsidP="00273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таблица № 6 "Сведения о проведении инвентаризаций</w:t>
      </w:r>
    </w:p>
    <w:p w:rsidR="002D7CA5" w:rsidRPr="00273407" w:rsidRDefault="002D7CA5" w:rsidP="002D7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CA5" w:rsidRPr="00273407" w:rsidRDefault="002D7CA5" w:rsidP="002D7C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Формы не имеют числового значения показателей, не составляются и в составе бюджетной отчетности за отч</w:t>
      </w:r>
      <w:r w:rsidR="00974F3F">
        <w:rPr>
          <w:rFonts w:ascii="Times New Roman" w:hAnsi="Times New Roman" w:cs="Times New Roman"/>
          <w:color w:val="000000" w:themeColor="text1"/>
          <w:sz w:val="28"/>
          <w:szCs w:val="28"/>
        </w:rPr>
        <w:t>етный период не представляются.</w:t>
      </w:r>
    </w:p>
    <w:tbl>
      <w:tblPr>
        <w:tblW w:w="6760" w:type="dxa"/>
        <w:tblLook w:val="04A0" w:firstRow="1" w:lastRow="0" w:firstColumn="1" w:lastColumn="0" w:noHBand="0" w:noVBand="1"/>
      </w:tblPr>
      <w:tblGrid>
        <w:gridCol w:w="1976"/>
        <w:gridCol w:w="1145"/>
        <w:gridCol w:w="1445"/>
        <w:gridCol w:w="1387"/>
        <w:gridCol w:w="498"/>
        <w:gridCol w:w="316"/>
      </w:tblGrid>
      <w:tr w:rsidR="005F1CB8" w:rsidRPr="00974F3F" w:rsidTr="005F1CB8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B8" w:rsidRPr="00974F3F" w:rsidTr="005F1CB8">
        <w:trPr>
          <w:trHeight w:val="285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450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 ПОДПИСАН ЭЛЕКТРОННОЙ ПОДПИСЬЮ</w:t>
            </w:r>
          </w:p>
        </w:tc>
      </w:tr>
      <w:tr w:rsidR="005F1CB8" w:rsidRPr="00974F3F" w:rsidTr="005F1CB8">
        <w:trPr>
          <w:trHeight w:val="882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Сертификат: 00A4A571F5139FE169CB5378E41DFA4FBD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Владелец: </w:t>
            </w:r>
            <w:proofErr w:type="spellStart"/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Пушникова</w:t>
            </w:r>
            <w:proofErr w:type="spellEnd"/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Альбертовна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Действителен с 09.03.2022 по 02.06.2023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F1CB8" w:rsidRPr="00974F3F" w:rsidTr="005F1CB8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B8" w:rsidRPr="00974F3F" w:rsidTr="005F1CB8">
        <w:trPr>
          <w:trHeight w:val="285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обязанности директора МКУ «МЦБ </w:t>
            </w:r>
            <w:proofErr w:type="spellStart"/>
            <w:r w:rsidRPr="0097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Нюксенского</w:t>
            </w:r>
            <w:proofErr w:type="spellEnd"/>
            <w:r w:rsidRPr="0097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450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 ПОДПИСАН ЭЛЕКТРОННОЙ ПОДПИСЬЮ</w:t>
            </w:r>
          </w:p>
        </w:tc>
      </w:tr>
      <w:tr w:rsidR="005F1CB8" w:rsidRPr="00974F3F" w:rsidTr="005F1CB8">
        <w:trPr>
          <w:trHeight w:val="882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Сертификат: 77B571CA4765FA791D1337F9EB1FA423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Владелец: </w:t>
            </w:r>
            <w:proofErr w:type="spellStart"/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Собанина</w:t>
            </w:r>
            <w:proofErr w:type="spellEnd"/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Алексеевна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Действителен с 27.07.2022 по 20.10.2023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F1CB8" w:rsidRPr="00974F3F" w:rsidTr="005F1CB8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B8" w:rsidRPr="00974F3F" w:rsidTr="005F1CB8">
        <w:trPr>
          <w:trHeight w:val="285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обязанности директора МКУ «МЦБ </w:t>
            </w:r>
            <w:proofErr w:type="spellStart"/>
            <w:r w:rsidRPr="0097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Нюксенского</w:t>
            </w:r>
            <w:proofErr w:type="spellEnd"/>
            <w:r w:rsidRPr="0097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450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 ПОДПИСАН ЭЛЕКТРОННОЙ ПОДПИСЬЮ</w:t>
            </w:r>
          </w:p>
        </w:tc>
      </w:tr>
      <w:tr w:rsidR="005F1CB8" w:rsidRPr="00974F3F" w:rsidTr="005F1CB8">
        <w:trPr>
          <w:trHeight w:val="882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Сертификат: 77B571CA4765FA791D1337F9EB1FA423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Владелец: </w:t>
            </w:r>
            <w:proofErr w:type="spellStart"/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Собанина</w:t>
            </w:r>
            <w:proofErr w:type="spellEnd"/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Алексеевна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Действителен с 27.07.2022 по 20.10.2023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F1CB8" w:rsidRPr="00974F3F" w:rsidTr="005F1CB8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B8" w:rsidRPr="00974F3F" w:rsidTr="005F1CB8">
        <w:trPr>
          <w:trHeight w:val="285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50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 ПОДПИСАН ЭЛЕКТРОННОЙ ПОДПИСЬЮ</w:t>
            </w:r>
          </w:p>
        </w:tc>
      </w:tr>
      <w:tr w:rsidR="005F1CB8" w:rsidRPr="00974F3F" w:rsidTr="005F1CB8">
        <w:trPr>
          <w:trHeight w:val="882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1CB8" w:rsidRPr="00974F3F" w:rsidRDefault="005F1CB8" w:rsidP="005F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Сертификат: 0091BF26CB955DBBF85183F13CB9720519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Владелец: Белозерова Татьяна Вячеславовна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Действителен с 04.05.2022 по 28.07.2023</w:t>
            </w:r>
            <w:r w:rsidRPr="0097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bookmarkStart w:id="7" w:name="_GoBack"/>
        <w:bookmarkEnd w:id="7"/>
      </w:tr>
    </w:tbl>
    <w:p w:rsidR="006D0DEE" w:rsidRPr="00974F3F" w:rsidRDefault="006D0DE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D0DEE" w:rsidRPr="00974F3F" w:rsidSect="003207B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E0" w:rsidRDefault="00462FE0">
      <w:pPr>
        <w:spacing w:after="0" w:line="240" w:lineRule="auto"/>
      </w:pPr>
      <w:r>
        <w:separator/>
      </w:r>
    </w:p>
  </w:endnote>
  <w:endnote w:type="continuationSeparator" w:id="0">
    <w:p w:rsidR="00462FE0" w:rsidRDefault="0046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E0" w:rsidRDefault="00462FE0">
      <w:pPr>
        <w:spacing w:after="0" w:line="240" w:lineRule="auto"/>
      </w:pPr>
      <w:r>
        <w:separator/>
      </w:r>
    </w:p>
  </w:footnote>
  <w:footnote w:type="continuationSeparator" w:id="0">
    <w:p w:rsidR="00462FE0" w:rsidRDefault="0046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B9" w:rsidRDefault="00DA52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0F9"/>
    <w:multiLevelType w:val="hybridMultilevel"/>
    <w:tmpl w:val="1E16AA80"/>
    <w:lvl w:ilvl="0" w:tplc="4B56A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E543CD"/>
    <w:multiLevelType w:val="hybridMultilevel"/>
    <w:tmpl w:val="7006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3A69"/>
    <w:multiLevelType w:val="hybridMultilevel"/>
    <w:tmpl w:val="C3EE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45BC"/>
    <w:multiLevelType w:val="hybridMultilevel"/>
    <w:tmpl w:val="152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86C23"/>
    <w:multiLevelType w:val="hybridMultilevel"/>
    <w:tmpl w:val="1624A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71067"/>
    <w:multiLevelType w:val="hybridMultilevel"/>
    <w:tmpl w:val="508E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C5"/>
    <w:rsid w:val="00001B5C"/>
    <w:rsid w:val="00006B31"/>
    <w:rsid w:val="00010E6F"/>
    <w:rsid w:val="0002451A"/>
    <w:rsid w:val="00025956"/>
    <w:rsid w:val="0002595C"/>
    <w:rsid w:val="000276B1"/>
    <w:rsid w:val="00027CAD"/>
    <w:rsid w:val="00030D65"/>
    <w:rsid w:val="00040A4D"/>
    <w:rsid w:val="000570E0"/>
    <w:rsid w:val="000617EC"/>
    <w:rsid w:val="00063F78"/>
    <w:rsid w:val="00065AB6"/>
    <w:rsid w:val="000752CC"/>
    <w:rsid w:val="00077A76"/>
    <w:rsid w:val="00082A6B"/>
    <w:rsid w:val="000835CA"/>
    <w:rsid w:val="00087941"/>
    <w:rsid w:val="00094D65"/>
    <w:rsid w:val="000A2764"/>
    <w:rsid w:val="000B096F"/>
    <w:rsid w:val="000B4043"/>
    <w:rsid w:val="000B5736"/>
    <w:rsid w:val="000C0AAF"/>
    <w:rsid w:val="000D0EBB"/>
    <w:rsid w:val="000D5C5E"/>
    <w:rsid w:val="000E0C67"/>
    <w:rsid w:val="000E298D"/>
    <w:rsid w:val="000E6DFB"/>
    <w:rsid w:val="000E7B4B"/>
    <w:rsid w:val="000F0DED"/>
    <w:rsid w:val="000F15D9"/>
    <w:rsid w:val="000F6E3F"/>
    <w:rsid w:val="00103BD6"/>
    <w:rsid w:val="00111100"/>
    <w:rsid w:val="00121A16"/>
    <w:rsid w:val="00121A73"/>
    <w:rsid w:val="00123A9B"/>
    <w:rsid w:val="00124CA6"/>
    <w:rsid w:val="00126A25"/>
    <w:rsid w:val="00127A14"/>
    <w:rsid w:val="00131A62"/>
    <w:rsid w:val="00132405"/>
    <w:rsid w:val="00133313"/>
    <w:rsid w:val="00136F0C"/>
    <w:rsid w:val="0014713F"/>
    <w:rsid w:val="001517CE"/>
    <w:rsid w:val="00153078"/>
    <w:rsid w:val="00157740"/>
    <w:rsid w:val="001636BC"/>
    <w:rsid w:val="00163816"/>
    <w:rsid w:val="0016572C"/>
    <w:rsid w:val="0017035A"/>
    <w:rsid w:val="00176106"/>
    <w:rsid w:val="00176733"/>
    <w:rsid w:val="001801B3"/>
    <w:rsid w:val="0019157F"/>
    <w:rsid w:val="00191683"/>
    <w:rsid w:val="001A17D6"/>
    <w:rsid w:val="001B32E1"/>
    <w:rsid w:val="001C1320"/>
    <w:rsid w:val="001C710A"/>
    <w:rsid w:val="001D70A8"/>
    <w:rsid w:val="001E337E"/>
    <w:rsid w:val="001E4C57"/>
    <w:rsid w:val="001E5787"/>
    <w:rsid w:val="001F3DE8"/>
    <w:rsid w:val="001F3E1D"/>
    <w:rsid w:val="001F627C"/>
    <w:rsid w:val="00200D98"/>
    <w:rsid w:val="00202FED"/>
    <w:rsid w:val="002056D4"/>
    <w:rsid w:val="00205C4F"/>
    <w:rsid w:val="00207B4D"/>
    <w:rsid w:val="00212601"/>
    <w:rsid w:val="00212BB7"/>
    <w:rsid w:val="002143F7"/>
    <w:rsid w:val="00215BB2"/>
    <w:rsid w:val="00220900"/>
    <w:rsid w:val="00221EC5"/>
    <w:rsid w:val="00225B73"/>
    <w:rsid w:val="00226A3A"/>
    <w:rsid w:val="002309E0"/>
    <w:rsid w:val="0023154F"/>
    <w:rsid w:val="0023179F"/>
    <w:rsid w:val="002323E9"/>
    <w:rsid w:val="00243ED3"/>
    <w:rsid w:val="002561D0"/>
    <w:rsid w:val="002572EA"/>
    <w:rsid w:val="00257649"/>
    <w:rsid w:val="002658C9"/>
    <w:rsid w:val="00273407"/>
    <w:rsid w:val="00281415"/>
    <w:rsid w:val="00285186"/>
    <w:rsid w:val="00292FD4"/>
    <w:rsid w:val="002A3427"/>
    <w:rsid w:val="002A4126"/>
    <w:rsid w:val="002A4BA1"/>
    <w:rsid w:val="002A72BD"/>
    <w:rsid w:val="002A79AA"/>
    <w:rsid w:val="002B2A17"/>
    <w:rsid w:val="002B4B46"/>
    <w:rsid w:val="002B75DE"/>
    <w:rsid w:val="002C18FB"/>
    <w:rsid w:val="002C2481"/>
    <w:rsid w:val="002C2D50"/>
    <w:rsid w:val="002D200E"/>
    <w:rsid w:val="002D7CA5"/>
    <w:rsid w:val="002F3E81"/>
    <w:rsid w:val="00304294"/>
    <w:rsid w:val="00312600"/>
    <w:rsid w:val="003207B3"/>
    <w:rsid w:val="003302FA"/>
    <w:rsid w:val="003469F8"/>
    <w:rsid w:val="00347456"/>
    <w:rsid w:val="00347CA4"/>
    <w:rsid w:val="003523B4"/>
    <w:rsid w:val="00353DD6"/>
    <w:rsid w:val="00355135"/>
    <w:rsid w:val="00355A6F"/>
    <w:rsid w:val="003563FC"/>
    <w:rsid w:val="00363D10"/>
    <w:rsid w:val="00365AB9"/>
    <w:rsid w:val="00377B10"/>
    <w:rsid w:val="003805A7"/>
    <w:rsid w:val="003814F1"/>
    <w:rsid w:val="003825F7"/>
    <w:rsid w:val="00386374"/>
    <w:rsid w:val="0039160A"/>
    <w:rsid w:val="0039552D"/>
    <w:rsid w:val="00395604"/>
    <w:rsid w:val="00395DBA"/>
    <w:rsid w:val="003965AC"/>
    <w:rsid w:val="0039711D"/>
    <w:rsid w:val="003A02AF"/>
    <w:rsid w:val="003A1C72"/>
    <w:rsid w:val="003B0F93"/>
    <w:rsid w:val="003B4BFC"/>
    <w:rsid w:val="003D1A67"/>
    <w:rsid w:val="003D6497"/>
    <w:rsid w:val="003E01F2"/>
    <w:rsid w:val="003E1921"/>
    <w:rsid w:val="003E4C6C"/>
    <w:rsid w:val="003E5F24"/>
    <w:rsid w:val="003F17AE"/>
    <w:rsid w:val="003F2B6C"/>
    <w:rsid w:val="003F4168"/>
    <w:rsid w:val="003F4369"/>
    <w:rsid w:val="003F4BC6"/>
    <w:rsid w:val="003F53DC"/>
    <w:rsid w:val="003F6401"/>
    <w:rsid w:val="00403415"/>
    <w:rsid w:val="00412739"/>
    <w:rsid w:val="004130FB"/>
    <w:rsid w:val="004156A6"/>
    <w:rsid w:val="00420BF2"/>
    <w:rsid w:val="00431C31"/>
    <w:rsid w:val="004347B8"/>
    <w:rsid w:val="00434F92"/>
    <w:rsid w:val="00435859"/>
    <w:rsid w:val="00450E81"/>
    <w:rsid w:val="00451D5A"/>
    <w:rsid w:val="0045488F"/>
    <w:rsid w:val="00455AFF"/>
    <w:rsid w:val="00461D91"/>
    <w:rsid w:val="00462FE0"/>
    <w:rsid w:val="00465764"/>
    <w:rsid w:val="004667C9"/>
    <w:rsid w:val="00470966"/>
    <w:rsid w:val="00473975"/>
    <w:rsid w:val="00480EB5"/>
    <w:rsid w:val="00481741"/>
    <w:rsid w:val="00492009"/>
    <w:rsid w:val="004936C4"/>
    <w:rsid w:val="00493C0B"/>
    <w:rsid w:val="004A1ABF"/>
    <w:rsid w:val="004B08D3"/>
    <w:rsid w:val="004C020A"/>
    <w:rsid w:val="004C577A"/>
    <w:rsid w:val="004C68D6"/>
    <w:rsid w:val="004C6A0A"/>
    <w:rsid w:val="004C7488"/>
    <w:rsid w:val="004C7A4E"/>
    <w:rsid w:val="004D642B"/>
    <w:rsid w:val="004E065F"/>
    <w:rsid w:val="004E3376"/>
    <w:rsid w:val="004E6A52"/>
    <w:rsid w:val="004F08AE"/>
    <w:rsid w:val="004F1120"/>
    <w:rsid w:val="004F5F5B"/>
    <w:rsid w:val="004F7433"/>
    <w:rsid w:val="005160D7"/>
    <w:rsid w:val="00516951"/>
    <w:rsid w:val="00520C5E"/>
    <w:rsid w:val="00546212"/>
    <w:rsid w:val="0054742D"/>
    <w:rsid w:val="00552E93"/>
    <w:rsid w:val="00554C77"/>
    <w:rsid w:val="00561BE6"/>
    <w:rsid w:val="0056285C"/>
    <w:rsid w:val="005670F0"/>
    <w:rsid w:val="00567783"/>
    <w:rsid w:val="00570617"/>
    <w:rsid w:val="00571F72"/>
    <w:rsid w:val="00577D72"/>
    <w:rsid w:val="00582359"/>
    <w:rsid w:val="00584320"/>
    <w:rsid w:val="005A09C0"/>
    <w:rsid w:val="005A320B"/>
    <w:rsid w:val="005A43F8"/>
    <w:rsid w:val="005A54DA"/>
    <w:rsid w:val="005C5CBE"/>
    <w:rsid w:val="005C6802"/>
    <w:rsid w:val="005D1754"/>
    <w:rsid w:val="005D4DD9"/>
    <w:rsid w:val="005E10DA"/>
    <w:rsid w:val="005E71C4"/>
    <w:rsid w:val="005F1966"/>
    <w:rsid w:val="005F1CB8"/>
    <w:rsid w:val="005F1F82"/>
    <w:rsid w:val="005F48A5"/>
    <w:rsid w:val="005F5BB3"/>
    <w:rsid w:val="006036C8"/>
    <w:rsid w:val="00603BEC"/>
    <w:rsid w:val="006057A8"/>
    <w:rsid w:val="00610663"/>
    <w:rsid w:val="00614944"/>
    <w:rsid w:val="0061603E"/>
    <w:rsid w:val="00616CF6"/>
    <w:rsid w:val="00627DD8"/>
    <w:rsid w:val="0063101A"/>
    <w:rsid w:val="0063381B"/>
    <w:rsid w:val="00635448"/>
    <w:rsid w:val="00636BAD"/>
    <w:rsid w:val="00646BDF"/>
    <w:rsid w:val="00647F05"/>
    <w:rsid w:val="00664881"/>
    <w:rsid w:val="00664AF8"/>
    <w:rsid w:val="0067438F"/>
    <w:rsid w:val="00674FAB"/>
    <w:rsid w:val="00685753"/>
    <w:rsid w:val="0068656D"/>
    <w:rsid w:val="00694C1B"/>
    <w:rsid w:val="006962BB"/>
    <w:rsid w:val="006A5960"/>
    <w:rsid w:val="006B19A9"/>
    <w:rsid w:val="006B25D8"/>
    <w:rsid w:val="006C0D31"/>
    <w:rsid w:val="006C111C"/>
    <w:rsid w:val="006C2877"/>
    <w:rsid w:val="006C6A72"/>
    <w:rsid w:val="006C78BD"/>
    <w:rsid w:val="006D0DEE"/>
    <w:rsid w:val="006E1C64"/>
    <w:rsid w:val="006F0E74"/>
    <w:rsid w:val="0070200F"/>
    <w:rsid w:val="00704434"/>
    <w:rsid w:val="0071539A"/>
    <w:rsid w:val="0071589A"/>
    <w:rsid w:val="00715B29"/>
    <w:rsid w:val="0071762B"/>
    <w:rsid w:val="00721588"/>
    <w:rsid w:val="007228DA"/>
    <w:rsid w:val="00732763"/>
    <w:rsid w:val="007356E0"/>
    <w:rsid w:val="007361A3"/>
    <w:rsid w:val="0073770A"/>
    <w:rsid w:val="00737B35"/>
    <w:rsid w:val="00737E6F"/>
    <w:rsid w:val="00742393"/>
    <w:rsid w:val="00743DB2"/>
    <w:rsid w:val="00752FC3"/>
    <w:rsid w:val="007536F1"/>
    <w:rsid w:val="00760114"/>
    <w:rsid w:val="00762001"/>
    <w:rsid w:val="00762F8C"/>
    <w:rsid w:val="00763164"/>
    <w:rsid w:val="00765568"/>
    <w:rsid w:val="007747C2"/>
    <w:rsid w:val="007758EB"/>
    <w:rsid w:val="007945C6"/>
    <w:rsid w:val="00795F22"/>
    <w:rsid w:val="00797EC4"/>
    <w:rsid w:val="007A6F5A"/>
    <w:rsid w:val="007B29F6"/>
    <w:rsid w:val="007B3F95"/>
    <w:rsid w:val="007B4AE4"/>
    <w:rsid w:val="007C6DD6"/>
    <w:rsid w:val="007D01AC"/>
    <w:rsid w:val="007D1CE5"/>
    <w:rsid w:val="007D7DDE"/>
    <w:rsid w:val="007E2983"/>
    <w:rsid w:val="007E4122"/>
    <w:rsid w:val="007E7870"/>
    <w:rsid w:val="007F1B1E"/>
    <w:rsid w:val="007F26BC"/>
    <w:rsid w:val="007F42F5"/>
    <w:rsid w:val="007F6571"/>
    <w:rsid w:val="008001D4"/>
    <w:rsid w:val="0080133B"/>
    <w:rsid w:val="00801D2B"/>
    <w:rsid w:val="0080489E"/>
    <w:rsid w:val="008146CA"/>
    <w:rsid w:val="0081709E"/>
    <w:rsid w:val="008217A9"/>
    <w:rsid w:val="00826903"/>
    <w:rsid w:val="00826960"/>
    <w:rsid w:val="008364D6"/>
    <w:rsid w:val="00837369"/>
    <w:rsid w:val="00851EFA"/>
    <w:rsid w:val="00851F5C"/>
    <w:rsid w:val="00862599"/>
    <w:rsid w:val="0086459F"/>
    <w:rsid w:val="00866A48"/>
    <w:rsid w:val="00867DD4"/>
    <w:rsid w:val="00872479"/>
    <w:rsid w:val="00880FF8"/>
    <w:rsid w:val="00881155"/>
    <w:rsid w:val="008811DB"/>
    <w:rsid w:val="008836DD"/>
    <w:rsid w:val="00884D6D"/>
    <w:rsid w:val="008914D7"/>
    <w:rsid w:val="008916B0"/>
    <w:rsid w:val="008A1978"/>
    <w:rsid w:val="008A1E9C"/>
    <w:rsid w:val="008A3CC5"/>
    <w:rsid w:val="008A5D68"/>
    <w:rsid w:val="008A7C37"/>
    <w:rsid w:val="008B26A4"/>
    <w:rsid w:val="008C6C38"/>
    <w:rsid w:val="008D031C"/>
    <w:rsid w:val="008D7FD7"/>
    <w:rsid w:val="008E0F9B"/>
    <w:rsid w:val="008E32CD"/>
    <w:rsid w:val="008E66C6"/>
    <w:rsid w:val="008F18F0"/>
    <w:rsid w:val="008F5D5C"/>
    <w:rsid w:val="008F6BE7"/>
    <w:rsid w:val="008F6F25"/>
    <w:rsid w:val="008F7A47"/>
    <w:rsid w:val="009004EA"/>
    <w:rsid w:val="00903779"/>
    <w:rsid w:val="0090740D"/>
    <w:rsid w:val="0091006B"/>
    <w:rsid w:val="00916390"/>
    <w:rsid w:val="00917DC3"/>
    <w:rsid w:val="00922CAA"/>
    <w:rsid w:val="0092660D"/>
    <w:rsid w:val="009274D7"/>
    <w:rsid w:val="009341EA"/>
    <w:rsid w:val="00935D12"/>
    <w:rsid w:val="009368FD"/>
    <w:rsid w:val="00945003"/>
    <w:rsid w:val="00945F04"/>
    <w:rsid w:val="00946549"/>
    <w:rsid w:val="00950CB2"/>
    <w:rsid w:val="00951A71"/>
    <w:rsid w:val="00951D8A"/>
    <w:rsid w:val="00955A6E"/>
    <w:rsid w:val="00957628"/>
    <w:rsid w:val="00963ED4"/>
    <w:rsid w:val="0096490E"/>
    <w:rsid w:val="00965964"/>
    <w:rsid w:val="00966AD5"/>
    <w:rsid w:val="00974F3F"/>
    <w:rsid w:val="00976A92"/>
    <w:rsid w:val="009874A8"/>
    <w:rsid w:val="009A072F"/>
    <w:rsid w:val="009A5E65"/>
    <w:rsid w:val="009B6510"/>
    <w:rsid w:val="009C3ABB"/>
    <w:rsid w:val="009D37C9"/>
    <w:rsid w:val="009D4136"/>
    <w:rsid w:val="009D4472"/>
    <w:rsid w:val="009E0E8A"/>
    <w:rsid w:val="009E44E0"/>
    <w:rsid w:val="009F033A"/>
    <w:rsid w:val="009F2F5F"/>
    <w:rsid w:val="009F4929"/>
    <w:rsid w:val="00A120E1"/>
    <w:rsid w:val="00A14487"/>
    <w:rsid w:val="00A21647"/>
    <w:rsid w:val="00A2213B"/>
    <w:rsid w:val="00A23D2C"/>
    <w:rsid w:val="00A259D3"/>
    <w:rsid w:val="00A310B1"/>
    <w:rsid w:val="00A32D17"/>
    <w:rsid w:val="00A36FD7"/>
    <w:rsid w:val="00A371D8"/>
    <w:rsid w:val="00A3791C"/>
    <w:rsid w:val="00A422BC"/>
    <w:rsid w:val="00A471E3"/>
    <w:rsid w:val="00A472BD"/>
    <w:rsid w:val="00A47C86"/>
    <w:rsid w:val="00A528B9"/>
    <w:rsid w:val="00A5374B"/>
    <w:rsid w:val="00A55909"/>
    <w:rsid w:val="00A56258"/>
    <w:rsid w:val="00A56542"/>
    <w:rsid w:val="00A71ADC"/>
    <w:rsid w:val="00A7240B"/>
    <w:rsid w:val="00A72AEA"/>
    <w:rsid w:val="00A735AB"/>
    <w:rsid w:val="00A753E0"/>
    <w:rsid w:val="00A85585"/>
    <w:rsid w:val="00A857CD"/>
    <w:rsid w:val="00A8724C"/>
    <w:rsid w:val="00A87B70"/>
    <w:rsid w:val="00A940CD"/>
    <w:rsid w:val="00A97728"/>
    <w:rsid w:val="00AC01CC"/>
    <w:rsid w:val="00AC28C0"/>
    <w:rsid w:val="00AC35DF"/>
    <w:rsid w:val="00AC40EA"/>
    <w:rsid w:val="00AC4764"/>
    <w:rsid w:val="00AC4A3A"/>
    <w:rsid w:val="00AC4CFC"/>
    <w:rsid w:val="00AD2A49"/>
    <w:rsid w:val="00AD3452"/>
    <w:rsid w:val="00AD7089"/>
    <w:rsid w:val="00AE422E"/>
    <w:rsid w:val="00AF008F"/>
    <w:rsid w:val="00AF4408"/>
    <w:rsid w:val="00B00A23"/>
    <w:rsid w:val="00B02596"/>
    <w:rsid w:val="00B051A3"/>
    <w:rsid w:val="00B122D9"/>
    <w:rsid w:val="00B1300D"/>
    <w:rsid w:val="00B13744"/>
    <w:rsid w:val="00B20E6A"/>
    <w:rsid w:val="00B42485"/>
    <w:rsid w:val="00B466D2"/>
    <w:rsid w:val="00B67185"/>
    <w:rsid w:val="00B75CCD"/>
    <w:rsid w:val="00B77331"/>
    <w:rsid w:val="00B8199E"/>
    <w:rsid w:val="00B86D1B"/>
    <w:rsid w:val="00B87996"/>
    <w:rsid w:val="00B87FD8"/>
    <w:rsid w:val="00BA755A"/>
    <w:rsid w:val="00BA76EF"/>
    <w:rsid w:val="00BB5F53"/>
    <w:rsid w:val="00BB7E8D"/>
    <w:rsid w:val="00BC3FEA"/>
    <w:rsid w:val="00BD319D"/>
    <w:rsid w:val="00BD577F"/>
    <w:rsid w:val="00BF0E46"/>
    <w:rsid w:val="00BF6A19"/>
    <w:rsid w:val="00C005BC"/>
    <w:rsid w:val="00C12FDF"/>
    <w:rsid w:val="00C14453"/>
    <w:rsid w:val="00C20328"/>
    <w:rsid w:val="00C240CD"/>
    <w:rsid w:val="00C26A14"/>
    <w:rsid w:val="00C30E56"/>
    <w:rsid w:val="00C331CA"/>
    <w:rsid w:val="00C364D2"/>
    <w:rsid w:val="00C431E3"/>
    <w:rsid w:val="00C47186"/>
    <w:rsid w:val="00C55268"/>
    <w:rsid w:val="00C60524"/>
    <w:rsid w:val="00C655EA"/>
    <w:rsid w:val="00C65AED"/>
    <w:rsid w:val="00C72F2D"/>
    <w:rsid w:val="00C846BA"/>
    <w:rsid w:val="00C906D6"/>
    <w:rsid w:val="00C93853"/>
    <w:rsid w:val="00C964A4"/>
    <w:rsid w:val="00CA1B76"/>
    <w:rsid w:val="00CA40FB"/>
    <w:rsid w:val="00CA41C5"/>
    <w:rsid w:val="00CA740B"/>
    <w:rsid w:val="00CB0464"/>
    <w:rsid w:val="00CB2948"/>
    <w:rsid w:val="00CC283C"/>
    <w:rsid w:val="00CD1280"/>
    <w:rsid w:val="00CD6DCE"/>
    <w:rsid w:val="00CF0295"/>
    <w:rsid w:val="00CF2012"/>
    <w:rsid w:val="00CF4770"/>
    <w:rsid w:val="00D0531B"/>
    <w:rsid w:val="00D07FB7"/>
    <w:rsid w:val="00D149D6"/>
    <w:rsid w:val="00D175B8"/>
    <w:rsid w:val="00D23390"/>
    <w:rsid w:val="00D23536"/>
    <w:rsid w:val="00D24EA2"/>
    <w:rsid w:val="00D27052"/>
    <w:rsid w:val="00D274FD"/>
    <w:rsid w:val="00D335E3"/>
    <w:rsid w:val="00D376DC"/>
    <w:rsid w:val="00D414B7"/>
    <w:rsid w:val="00D44979"/>
    <w:rsid w:val="00D47222"/>
    <w:rsid w:val="00D506AC"/>
    <w:rsid w:val="00D51399"/>
    <w:rsid w:val="00D5746E"/>
    <w:rsid w:val="00D7286A"/>
    <w:rsid w:val="00D72F5F"/>
    <w:rsid w:val="00D760BD"/>
    <w:rsid w:val="00D76FB7"/>
    <w:rsid w:val="00D81986"/>
    <w:rsid w:val="00D86B28"/>
    <w:rsid w:val="00D96EA4"/>
    <w:rsid w:val="00D97A11"/>
    <w:rsid w:val="00DA1205"/>
    <w:rsid w:val="00DA2056"/>
    <w:rsid w:val="00DA52B9"/>
    <w:rsid w:val="00DA60AF"/>
    <w:rsid w:val="00DB1E87"/>
    <w:rsid w:val="00DB40DB"/>
    <w:rsid w:val="00DC2B25"/>
    <w:rsid w:val="00DC7631"/>
    <w:rsid w:val="00DD49FF"/>
    <w:rsid w:val="00DD55B5"/>
    <w:rsid w:val="00DD75B2"/>
    <w:rsid w:val="00DE0497"/>
    <w:rsid w:val="00DE718A"/>
    <w:rsid w:val="00DE7E1D"/>
    <w:rsid w:val="00DE7EA6"/>
    <w:rsid w:val="00DF03A4"/>
    <w:rsid w:val="00DF1F95"/>
    <w:rsid w:val="00E04867"/>
    <w:rsid w:val="00E049C6"/>
    <w:rsid w:val="00E04A57"/>
    <w:rsid w:val="00E04E5D"/>
    <w:rsid w:val="00E07B86"/>
    <w:rsid w:val="00E17EB0"/>
    <w:rsid w:val="00E21FC9"/>
    <w:rsid w:val="00E26818"/>
    <w:rsid w:val="00E27A7D"/>
    <w:rsid w:val="00E403A1"/>
    <w:rsid w:val="00E40836"/>
    <w:rsid w:val="00E43062"/>
    <w:rsid w:val="00E4396C"/>
    <w:rsid w:val="00E515FF"/>
    <w:rsid w:val="00E5633C"/>
    <w:rsid w:val="00E57A6E"/>
    <w:rsid w:val="00E61089"/>
    <w:rsid w:val="00E629D5"/>
    <w:rsid w:val="00E63CAD"/>
    <w:rsid w:val="00E65577"/>
    <w:rsid w:val="00E84E21"/>
    <w:rsid w:val="00E8542C"/>
    <w:rsid w:val="00E85DB4"/>
    <w:rsid w:val="00E9085E"/>
    <w:rsid w:val="00E9106F"/>
    <w:rsid w:val="00E96980"/>
    <w:rsid w:val="00EA2433"/>
    <w:rsid w:val="00EA278D"/>
    <w:rsid w:val="00EA4A22"/>
    <w:rsid w:val="00EA762F"/>
    <w:rsid w:val="00EB2DCE"/>
    <w:rsid w:val="00EB2F17"/>
    <w:rsid w:val="00EB4687"/>
    <w:rsid w:val="00ED16C8"/>
    <w:rsid w:val="00ED3A07"/>
    <w:rsid w:val="00ED3F77"/>
    <w:rsid w:val="00EE4009"/>
    <w:rsid w:val="00EE629F"/>
    <w:rsid w:val="00EF4376"/>
    <w:rsid w:val="00F117AD"/>
    <w:rsid w:val="00F15547"/>
    <w:rsid w:val="00F2602F"/>
    <w:rsid w:val="00F30833"/>
    <w:rsid w:val="00F41B93"/>
    <w:rsid w:val="00F42813"/>
    <w:rsid w:val="00F44912"/>
    <w:rsid w:val="00F503DD"/>
    <w:rsid w:val="00F5101D"/>
    <w:rsid w:val="00F60955"/>
    <w:rsid w:val="00F61E43"/>
    <w:rsid w:val="00F63104"/>
    <w:rsid w:val="00F701E4"/>
    <w:rsid w:val="00F77A14"/>
    <w:rsid w:val="00F8044A"/>
    <w:rsid w:val="00F81950"/>
    <w:rsid w:val="00F81D43"/>
    <w:rsid w:val="00F86D74"/>
    <w:rsid w:val="00F93535"/>
    <w:rsid w:val="00F9366C"/>
    <w:rsid w:val="00F94A73"/>
    <w:rsid w:val="00F95632"/>
    <w:rsid w:val="00F96C5F"/>
    <w:rsid w:val="00FC4B18"/>
    <w:rsid w:val="00FD3A41"/>
    <w:rsid w:val="00FD5BFF"/>
    <w:rsid w:val="00FE28DA"/>
    <w:rsid w:val="00FE6844"/>
    <w:rsid w:val="00FF0DA2"/>
    <w:rsid w:val="00FF423A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7247"/>
  <w15:docId w15:val="{0A0D627B-7381-4845-8CEC-EFB0A65E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3E"/>
  </w:style>
  <w:style w:type="paragraph" w:styleId="3">
    <w:name w:val="heading 3"/>
    <w:basedOn w:val="a"/>
    <w:next w:val="a"/>
    <w:link w:val="30"/>
    <w:semiHidden/>
    <w:unhideWhenUsed/>
    <w:qFormat/>
    <w:rsid w:val="00D24E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4E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D24EA2"/>
  </w:style>
  <w:style w:type="paragraph" w:styleId="a3">
    <w:name w:val="header"/>
    <w:basedOn w:val="a"/>
    <w:link w:val="a4"/>
    <w:unhideWhenUsed/>
    <w:rsid w:val="00D24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24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24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24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E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4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24E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24EA2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2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04EA"/>
  </w:style>
  <w:style w:type="paragraph" w:styleId="ab">
    <w:name w:val="Title"/>
    <w:basedOn w:val="a"/>
    <w:next w:val="ac"/>
    <w:link w:val="ad"/>
    <w:qFormat/>
    <w:rsid w:val="00A37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Заголовок Знак"/>
    <w:basedOn w:val="a0"/>
    <w:link w:val="ab"/>
    <w:rsid w:val="00A371D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A371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A371D8"/>
    <w:rPr>
      <w:rFonts w:eastAsiaTheme="minorEastAsia"/>
      <w:color w:val="5A5A5A" w:themeColor="text1" w:themeTint="A5"/>
      <w:spacing w:val="15"/>
    </w:rPr>
  </w:style>
  <w:style w:type="paragraph" w:styleId="af">
    <w:name w:val="List Paragraph"/>
    <w:basedOn w:val="a"/>
    <w:uiPriority w:val="34"/>
    <w:qFormat/>
    <w:rsid w:val="00395604"/>
    <w:pPr>
      <w:ind w:left="720"/>
      <w:contextualSpacing/>
    </w:pPr>
  </w:style>
  <w:style w:type="character" w:customStyle="1" w:styleId="FontStyle14">
    <w:name w:val="Font Style14"/>
    <w:basedOn w:val="a0"/>
    <w:rsid w:val="009A5E65"/>
    <w:rPr>
      <w:rFonts w:ascii="Arial Unicode MS" w:eastAsia="Arial Unicode MS" w:cs="Arial Unicode MS"/>
      <w:sz w:val="22"/>
      <w:szCs w:val="22"/>
    </w:rPr>
  </w:style>
  <w:style w:type="paragraph" w:customStyle="1" w:styleId="Style8">
    <w:name w:val="Style8"/>
    <w:basedOn w:val="a"/>
    <w:uiPriority w:val="99"/>
    <w:rsid w:val="000F15D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0F15D9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uiPriority w:val="99"/>
    <w:rsid w:val="006C111C"/>
    <w:rPr>
      <w:rFonts w:ascii="Arial" w:hAnsi="Arial" w:cs="Arial"/>
      <w:sz w:val="16"/>
      <w:szCs w:val="16"/>
    </w:rPr>
  </w:style>
  <w:style w:type="character" w:styleId="af0">
    <w:name w:val="Hyperlink"/>
    <w:rsid w:val="0086459F"/>
    <w:rPr>
      <w:color w:val="0000FF"/>
      <w:u w:val="single"/>
    </w:rPr>
  </w:style>
  <w:style w:type="character" w:customStyle="1" w:styleId="212pt">
    <w:name w:val="Основной текст (2) + 12 pt"/>
    <w:rsid w:val="008645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f1">
    <w:name w:val="Body Text"/>
    <w:basedOn w:val="a"/>
    <w:link w:val="af2"/>
    <w:rsid w:val="008364D6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f2">
    <w:name w:val="Основной текст Знак"/>
    <w:basedOn w:val="a0"/>
    <w:link w:val="af1"/>
    <w:rsid w:val="008364D6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364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3">
    <w:name w:val="Intense Emphasis"/>
    <w:basedOn w:val="a0"/>
    <w:uiPriority w:val="21"/>
    <w:qFormat/>
    <w:rsid w:val="00D760BD"/>
    <w:rPr>
      <w:i/>
      <w:iCs/>
      <w:color w:val="4F81BD" w:themeColor="accent1"/>
    </w:rPr>
  </w:style>
  <w:style w:type="paragraph" w:customStyle="1" w:styleId="Standard">
    <w:name w:val="Standard"/>
    <w:rsid w:val="00FF0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16DK3O" TargetMode="Externa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A763ACDD5B799A597D71482C16FC30F18A5004A347B6FAF16B64967276D7EE11E9C83136B1BE176R1m7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81C534AC1618B38338B7138DDEB14344F59B417381706259B468524054C32ECBB30FCA5546109B5D4A4FBD6DK2O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5310-FCAC-42BC-8804-519CFAF4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8410</Words>
  <Characters>47940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</dc:creator>
  <cp:keywords/>
  <dc:description/>
  <cp:lastModifiedBy>MCB-12-4</cp:lastModifiedBy>
  <cp:revision>29</cp:revision>
  <cp:lastPrinted>2022-02-16T11:26:00Z</cp:lastPrinted>
  <dcterms:created xsi:type="dcterms:W3CDTF">2023-01-23T12:16:00Z</dcterms:created>
  <dcterms:modified xsi:type="dcterms:W3CDTF">2023-02-21T06:49:00Z</dcterms:modified>
</cp:coreProperties>
</file>