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C" w:rsidRPr="003B1B6C" w:rsidRDefault="00B661C7" w:rsidP="003B1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B6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"https://vk.com/feed?section=search&amp;q=%23%D0%B1%D1%83%D0%B4%D1%8C%D1%82%D0%B5%D0%B2%D0%BA%D1%83%D1%80%D1%81%D0%B5" </w:instrText>
      </w:r>
      <w:r w:rsidRPr="003B1B6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B1B6C" w:rsidRPr="003B1B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#</w:t>
      </w:r>
      <w:proofErr w:type="spellStart"/>
      <w:r w:rsidR="003B1B6C" w:rsidRPr="003B1B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будьтевкурсе</w:t>
      </w:r>
      <w:proofErr w:type="spellEnd"/>
      <w:proofErr w:type="gramStart"/>
      <w:r w:rsidRPr="003B1B6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t xml:space="preserve"> 2020 году существенно реформирована патентная система налогообложения для того, чтобы установить максимально комфортный для бизнеса налоговый климат.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 xml:space="preserve">Еще в апреле прошлого года принят областной закон от 10 апреля 2020 года № 4685-ОЗ, качественно новой </w:t>
      </w:r>
      <w:proofErr w:type="gramStart"/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proofErr w:type="gramEnd"/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t xml:space="preserve"> которого стало детальное зонирование уровня налоговой нагрузки в зависимости от территории ведения предпринимательской деятельности.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С принятием Федерального закона № 373-ФЗ, открывающего дополнительные возможности для ведения бизнеса на патенте, в декабре 2020 года в областной закон внесены изменения (закон области от 24 декабря 2020 года № 4834-ОЗ).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Главное нововведение - расширение перечня видов деятельности, доступных к осуществлению на патенте.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В перечень вошли 99 видов деятельности, на ведение которых можно приобрести патент. Это – большой спектр бытовых услуг, необходимых населению, а также розничная торговля и общественное питание.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 xml:space="preserve">В перечень включены как действующие виды деятельности, включая те, которые были на едином налоге на вмененный доход, так и 16 новых направлений бизнеса. 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Мы рассчитываем, что новые виды бизнеса в наибольшей степени заинтересуют предпринимателей – владельцев автостоянок; изготовителей валяной обуви; авторов граверных работ по металлу, стеклу, фарфору, дереву и керамике; квалифицированных специалистов по сборке и ремонту очков; изготовителей визиток и пригласительных билетов на семейные торжества.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Благодаря федеральным поправкам право на применение патентной системы налогообложения получили предприниматели сферы розничной торговли и общественного питания с площадью торгового зала (зала обслуживания посетителей) до 150 кв. метров. До этого применение патентной системы по данным видам деятельности было ограничено площадью в 50 кв. метров.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Визитной карточкой патента по-прежнему остается стабильность и предсказуемость.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 xml:space="preserve">Размеры годового потенциального дохода, </w:t>
      </w:r>
      <w:proofErr w:type="gramStart"/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t>исходя из которого рассчитывается</w:t>
      </w:r>
      <w:proofErr w:type="gramEnd"/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t xml:space="preserve"> стоимость патента, не изменились.</w:t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</w:r>
      <w:r w:rsidR="003B1B6C" w:rsidRPr="003B1B6C">
        <w:rPr>
          <w:rFonts w:ascii="Times New Roman" w:eastAsia="Times New Roman" w:hAnsi="Times New Roman" w:cs="Times New Roman"/>
          <w:sz w:val="24"/>
          <w:szCs w:val="24"/>
        </w:rPr>
        <w:br/>
        <w:t>По новым видам деятельности, относящимся к бытовым услугам, размер потенциального дохода аналогичен действующему до этого размеру дохода для бытовых услуг.</w:t>
      </w:r>
    </w:p>
    <w:p w:rsidR="00B661C7" w:rsidRDefault="006D42D8">
      <w:r>
        <w:rPr>
          <w:noProof/>
        </w:rPr>
        <w:lastRenderedPageBreak/>
        <w:drawing>
          <wp:inline distT="0" distB="0" distL="0" distR="0">
            <wp:extent cx="5940425" cy="4246131"/>
            <wp:effectExtent l="19050" t="0" r="3175" b="0"/>
            <wp:docPr id="1" name="Рисунок 1" descr="https://sun9-53.userapi.com/impf/onbvE3U0BpKeADucLh-_DdAPxT4i7L3hUwSClQ/G4_KAhxH2cs.jpg?size=1143x817&amp;quality=96&amp;sign=e75931453c9bec899e914beea5ea15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f/onbvE3U0BpKeADucLh-_DdAPxT4i7L3hUwSClQ/G4_KAhxH2cs.jpg?size=1143x817&amp;quality=96&amp;sign=e75931453c9bec899e914beea5ea1502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1C7" w:rsidSect="00B6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B6C"/>
    <w:rsid w:val="003B1B6C"/>
    <w:rsid w:val="006D42D8"/>
    <w:rsid w:val="00B6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2021-03-04T11:49:00Z</dcterms:created>
  <dcterms:modified xsi:type="dcterms:W3CDTF">2021-03-04T12:00:00Z</dcterms:modified>
</cp:coreProperties>
</file>