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BF191F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 xml:space="preserve">«Развитие малого и среднего предпринимательства в Нюксенском </w:t>
      </w:r>
      <w:r w:rsidR="00ED0CBA" w:rsidRPr="0091304F">
        <w:rPr>
          <w:rFonts w:ascii="Times New Roman" w:hAnsi="Times New Roman"/>
          <w:b/>
          <w:szCs w:val="24"/>
        </w:rPr>
        <w:t xml:space="preserve">муниципальном </w:t>
      </w:r>
      <w:r w:rsidR="00FC19A0">
        <w:rPr>
          <w:rFonts w:ascii="Times New Roman" w:hAnsi="Times New Roman"/>
          <w:b/>
          <w:szCs w:val="24"/>
        </w:rPr>
        <w:t xml:space="preserve">округе </w:t>
      </w:r>
      <w:r w:rsidR="008D5D03" w:rsidRPr="0091304F">
        <w:rPr>
          <w:rFonts w:ascii="Times New Roman" w:hAnsi="Times New Roman"/>
          <w:b/>
          <w:szCs w:val="24"/>
        </w:rPr>
        <w:t>на 2021</w:t>
      </w:r>
      <w:r w:rsidRPr="0091304F">
        <w:rPr>
          <w:rFonts w:ascii="Times New Roman" w:hAnsi="Times New Roman"/>
          <w:b/>
          <w:szCs w:val="24"/>
        </w:rPr>
        <w:t>-202</w:t>
      </w:r>
      <w:r w:rsidR="008D5D03" w:rsidRPr="0091304F">
        <w:rPr>
          <w:rFonts w:ascii="Times New Roman" w:hAnsi="Times New Roman"/>
          <w:b/>
          <w:szCs w:val="24"/>
        </w:rPr>
        <w:t>5</w:t>
      </w:r>
      <w:r w:rsidRPr="0091304F">
        <w:rPr>
          <w:rFonts w:ascii="Times New Roman" w:hAnsi="Times New Roman"/>
          <w:b/>
          <w:szCs w:val="24"/>
        </w:rPr>
        <w:t xml:space="preserve"> годы» за </w:t>
      </w:r>
      <w:r w:rsidR="006262B2">
        <w:rPr>
          <w:rFonts w:ascii="Times New Roman" w:hAnsi="Times New Roman"/>
          <w:b/>
          <w:szCs w:val="24"/>
        </w:rPr>
        <w:t xml:space="preserve">1 квартал </w:t>
      </w:r>
      <w:r w:rsidR="00B35D90" w:rsidRPr="0091304F">
        <w:rPr>
          <w:rFonts w:ascii="Times New Roman" w:hAnsi="Times New Roman"/>
          <w:b/>
          <w:szCs w:val="24"/>
        </w:rPr>
        <w:t>202</w:t>
      </w:r>
      <w:r w:rsidR="006262B2">
        <w:rPr>
          <w:rFonts w:ascii="Times New Roman" w:hAnsi="Times New Roman"/>
          <w:b/>
          <w:szCs w:val="24"/>
        </w:rPr>
        <w:t>3</w:t>
      </w:r>
      <w:r w:rsidR="00B35D90" w:rsidRPr="0091304F">
        <w:rPr>
          <w:rFonts w:ascii="Times New Roman" w:hAnsi="Times New Roman"/>
          <w:b/>
          <w:szCs w:val="24"/>
        </w:rPr>
        <w:t xml:space="preserve"> год</w:t>
      </w:r>
      <w:r w:rsidR="006262B2">
        <w:rPr>
          <w:rFonts w:ascii="Times New Roman" w:hAnsi="Times New Roman"/>
          <w:b/>
          <w:szCs w:val="24"/>
        </w:rPr>
        <w:t>а</w:t>
      </w: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077"/>
        <w:gridCol w:w="846"/>
        <w:gridCol w:w="993"/>
        <w:gridCol w:w="990"/>
        <w:gridCol w:w="855"/>
        <w:gridCol w:w="2691"/>
      </w:tblGrid>
      <w:tr w:rsidR="00853BF5" w:rsidRPr="009C47EA" w:rsidTr="000E7CE9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8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0E7CE9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57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8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3D7144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="003F7CB0">
              <w:rPr>
                <w:rFonts w:ascii="Times New Roman" w:hAnsi="Times New Roman"/>
                <w:szCs w:val="24"/>
              </w:rPr>
              <w:t xml:space="preserve"> на 2021</w:t>
            </w:r>
            <w:r w:rsidRPr="00BF191F">
              <w:rPr>
                <w:rFonts w:ascii="Times New Roman" w:hAnsi="Times New Roman"/>
                <w:szCs w:val="24"/>
              </w:rPr>
              <w:t>-202</w:t>
            </w:r>
            <w:r w:rsidR="003F7CB0">
              <w:rPr>
                <w:rFonts w:ascii="Times New Roman" w:hAnsi="Times New Roman"/>
                <w:szCs w:val="24"/>
              </w:rPr>
              <w:t>5</w:t>
            </w:r>
            <w:r w:rsidRPr="00BF191F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3D7144" w:rsidRPr="009C47EA" w:rsidTr="003D7144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B57F34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26169">
              <w:rPr>
                <w:rFonts w:ascii="Times New Roman" w:hAnsi="Times New Roman"/>
                <w:szCs w:val="24"/>
              </w:rPr>
              <w:t>2</w:t>
            </w:r>
            <w:r w:rsidR="00F32AF8" w:rsidRPr="00D26169">
              <w:rPr>
                <w:rFonts w:ascii="Times New Roman" w:hAnsi="Times New Roman"/>
                <w:szCs w:val="24"/>
              </w:rPr>
              <w:t>0</w:t>
            </w:r>
            <w:r w:rsidR="008E1C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A27A34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127BEB"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127BE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расчет включены субъекты МСП и физические лица, применяющие «налог на профессиональный доход»</w:t>
            </w:r>
          </w:p>
        </w:tc>
      </w:tr>
      <w:tr w:rsidR="003D7144" w:rsidRPr="009C47EA" w:rsidTr="003D7144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8E1C3A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39,5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26169">
              <w:rPr>
                <w:rFonts w:ascii="Times New Roman" w:hAnsi="Times New Roman"/>
                <w:szCs w:val="24"/>
              </w:rPr>
              <w:t>39,</w:t>
            </w:r>
            <w:r w:rsidR="008E1C3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D26169" w:rsidRDefault="00E65BAE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31,14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9B6AF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AF4" w:rsidRDefault="009B6AF4" w:rsidP="00E12BC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9B6AF4">
              <w:rPr>
                <w:rFonts w:ascii="Times New Roman" w:hAnsi="Times New Roman"/>
                <w:szCs w:val="24"/>
              </w:rPr>
              <w:t>частие представителей малого и среднего бизнеса в празднике: «Широкая масленица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3D7144" w:rsidRPr="009C47EA" w:rsidRDefault="003D7144" w:rsidP="00E12BC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029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127BEB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1404BB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Закупки проводятся преимущественно для СМП</w:t>
            </w:r>
          </w:p>
        </w:tc>
      </w:tr>
      <w:tr w:rsidR="003D7144" w:rsidRPr="009C47EA" w:rsidTr="003D7144">
        <w:trPr>
          <w:trHeight w:val="406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9B3DF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B81FC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104,8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6D318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210,4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9F6665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E7760B" w:rsidP="0084161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 данных</w:t>
            </w:r>
            <w:r w:rsidR="009F6665">
              <w:rPr>
                <w:rFonts w:ascii="Times New Roman" w:hAnsi="Times New Roman"/>
                <w:szCs w:val="24"/>
              </w:rPr>
              <w:t xml:space="preserve"> за 1 квартал 2023</w:t>
            </w:r>
          </w:p>
        </w:tc>
      </w:tr>
      <w:tr w:rsidR="003D7144" w:rsidRPr="009C47EA" w:rsidTr="003D7144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3D7144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</w:t>
            </w:r>
            <w:r w:rsidRPr="00C23ECE">
              <w:rPr>
                <w:rFonts w:ascii="Times New Roman" w:hAnsi="Times New Roman"/>
              </w:rPr>
              <w:lastRenderedPageBreak/>
              <w:t xml:space="preserve">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100</w:t>
            </w:r>
            <w:r w:rsidR="00E93AB3" w:rsidRPr="00551F3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CB7BEA" w:rsidRDefault="00CB7BEA" w:rsidP="00853BF5">
      <w:pPr>
        <w:jc w:val="center"/>
      </w:pPr>
    </w:p>
    <w:p w:rsidR="00853BF5" w:rsidRPr="000E7CE9" w:rsidRDefault="003F6D94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835"/>
        <w:gridCol w:w="2551"/>
        <w:gridCol w:w="851"/>
      </w:tblGrid>
      <w:tr w:rsidR="00E54E60" w:rsidRPr="00815AEF" w:rsidTr="00B14A87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E54E60" w:rsidRPr="00815AEF" w:rsidTr="00B14A87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FE0FEF">
        <w:trPr>
          <w:trHeight w:val="1005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CB7BEA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9B6AF4" w:rsidP="009B6AF4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6757A"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914E99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9B6AF4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, представителей организаций инфраструктуры поддержки субъектов малого и среднего предпринимательства области, органов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9B6AF4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425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информационной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2551" w:type="dxa"/>
            <w:noWrap/>
          </w:tcPr>
          <w:p w:rsidR="004D3F62" w:rsidRDefault="00C16F2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социальных сетях «В контакте» в группе «Предприниматели Нюксенского района»,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участие представителей малого и среднего бизнеса в праздник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F65F15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«Широкая масленица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-за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1 постановление администрации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прошло экспертизу в рамках ОРВ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B14A87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551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группе «Предприниматели Нюксенского района», в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B14A87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, свободного от прав третьих лиц (за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9878B0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</w:t>
            </w: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2551" w:type="dxa"/>
            <w:noWrap/>
          </w:tcPr>
          <w:p w:rsidR="008317EB" w:rsidRPr="00815AEF" w:rsidRDefault="008317EB" w:rsidP="008317EB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317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Постановлением  администрации от 27.03.2023 года № 185 перечень дополнен 7 объектами (3 единицами недвижимого имущества, 2 земельными участками и </w:t>
            </w:r>
            <w:r w:rsidRPr="008317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единицами движимого имущества)</w:t>
            </w:r>
          </w:p>
          <w:p w:rsidR="00A40121" w:rsidRPr="00815AEF" w:rsidRDefault="00A40121" w:rsidP="00A40121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noWrap/>
          </w:tcPr>
          <w:p w:rsidR="004D3F62" w:rsidRPr="00815AEF" w:rsidRDefault="00F82887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</w:t>
            </w: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округе.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B14A87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B14A87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993" w:type="dxa"/>
            <w:noWrap/>
          </w:tcPr>
          <w:p w:rsidR="004D3F62" w:rsidRDefault="00F82887" w:rsidP="00B14A87">
            <w:pPr>
              <w:spacing w:after="0" w:line="240" w:lineRule="atLeast"/>
              <w:jc w:val="center"/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1 квартал 2023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2551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13F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2277" w:rsidRDefault="00802277" w:rsidP="00853BF5">
      <w:pPr>
        <w:jc w:val="center"/>
      </w:pPr>
    </w:p>
    <w:p w:rsidR="00853BF5" w:rsidRPr="00DB1D8E" w:rsidRDefault="003F6D94" w:rsidP="00853BF5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DB1D8E">
          <w:rPr>
            <w:rFonts w:ascii="Times New Roman" w:hAnsi="Times New Roman"/>
            <w:szCs w:val="24"/>
          </w:rPr>
          <w:t>Отчет</w:t>
        </w:r>
      </w:hyperlink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</w:t>
            </w:r>
            <w:r w:rsidR="00DA6516"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42D51" w:rsidRPr="00D26169" w:rsidRDefault="00CD6CF9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42D51" w:rsidRPr="00CD1E5F" w:rsidRDefault="00F82887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12" w:type="dxa"/>
            <w:noWrap/>
          </w:tcPr>
          <w:p w:rsidR="00C42D51" w:rsidRPr="00CD1E5F" w:rsidRDefault="00177334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D26169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C42D51" w:rsidRPr="00D26169" w:rsidRDefault="00F8288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noWrap/>
          </w:tcPr>
          <w:p w:rsidR="00C42D51" w:rsidRPr="00CD1E5F" w:rsidRDefault="00F82887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12" w:type="dxa"/>
            <w:noWrap/>
          </w:tcPr>
          <w:p w:rsidR="00C42D51" w:rsidRPr="00CD1E5F" w:rsidRDefault="00177334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177334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177334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«Создание условий для малого и среднего предпринимательства, направленных на формирование положительного образа 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12" w:type="dxa"/>
            <w:noWrap/>
          </w:tcPr>
          <w:p w:rsidR="00642765" w:rsidRPr="00CD1E5F" w:rsidRDefault="00AF6FA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 w:rsidR="00FC19A0"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8D4D60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12" w:type="dxa"/>
            <w:noWrap/>
          </w:tcPr>
          <w:p w:rsidR="00642765" w:rsidRPr="00CD1E5F" w:rsidRDefault="00AF6FAB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субъекта Российской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 w:rsidR="00FC19A0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CD1E5F" w:rsidRDefault="00AF6FA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CD1E5F" w:rsidRDefault="00AF6FA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AF6FA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AF6FA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AF6FA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3F6D94" w:rsidP="00FC206B">
      <w:pPr>
        <w:jc w:val="center"/>
        <w:rPr>
          <w:rFonts w:ascii="Times New Roman" w:hAnsi="Times New Roman"/>
          <w:szCs w:val="24"/>
        </w:rPr>
      </w:pPr>
      <w:hyperlink r:id="rId9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853BF5" w:rsidRPr="006E4ED9" w:rsidTr="00C42D51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F32AF8" w:rsidRPr="006E4ED9" w:rsidTr="004D3F62">
        <w:trPr>
          <w:trHeight w:val="450"/>
        </w:trPr>
        <w:tc>
          <w:tcPr>
            <w:tcW w:w="500" w:type="dxa"/>
            <w:noWrap/>
          </w:tcPr>
          <w:p w:rsidR="00F32AF8" w:rsidRDefault="009939BC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20" w:type="dxa"/>
          </w:tcPr>
          <w:p w:rsidR="00F32AF8" w:rsidRPr="00256924" w:rsidRDefault="00F90D41" w:rsidP="0025692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noWrap/>
          </w:tcPr>
          <w:p w:rsidR="00F32AF8" w:rsidRPr="00256924" w:rsidRDefault="00F90D41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20.01.2023</w:t>
            </w:r>
          </w:p>
        </w:tc>
        <w:tc>
          <w:tcPr>
            <w:tcW w:w="1540" w:type="dxa"/>
            <w:noWrap/>
          </w:tcPr>
          <w:p w:rsidR="00F32AF8" w:rsidRPr="00256924" w:rsidRDefault="00BC146E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5796" w:type="dxa"/>
            <w:noWrap/>
          </w:tcPr>
          <w:p w:rsidR="00F32AF8" w:rsidRPr="00A039CE" w:rsidRDefault="00F32AF8" w:rsidP="008D0E3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Внесение изменений в объем финансового обеспечения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муниципальной программы в соответствии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от 27.12.2022 № 93 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годов», 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Нюксенского муниципального округа от 15.12.2022 № 85 «О бюджете Нюксенского муниципального округа на 2023 год и пла</w:t>
            </w:r>
            <w:r>
              <w:rPr>
                <w:rFonts w:ascii="Times New Roman" w:hAnsi="Times New Roman"/>
                <w:color w:val="000000"/>
                <w:sz w:val="20"/>
              </w:rPr>
              <w:t>новый период 2024 и 2025 годов»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, название муниципальной программы в соответствии с 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>постановлени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>ями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 xml:space="preserve">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 а также в части изменения показателей.</w:t>
            </w:r>
          </w:p>
        </w:tc>
      </w:tr>
    </w:tbl>
    <w:p w:rsidR="00B33CC1" w:rsidRPr="00D42DD7" w:rsidRDefault="00B33CC1" w:rsidP="00B33CC1">
      <w:pPr>
        <w:contextualSpacing/>
        <w:rPr>
          <w:rFonts w:ascii="Times New Roman" w:hAnsi="Times New Roman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DF56C1" w:rsidRDefault="009939BC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F56C1">
        <w:rPr>
          <w:rFonts w:ascii="Times New Roman" w:hAnsi="Times New Roman"/>
        </w:rPr>
        <w:t xml:space="preserve">ачальник финансового управления, </w:t>
      </w:r>
    </w:p>
    <w:p w:rsidR="00B07A42" w:rsidRPr="00B07A42" w:rsidRDefault="0021787B" w:rsidP="00B07A4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DF56C1">
        <w:rPr>
          <w:rFonts w:ascii="Times New Roman" w:hAnsi="Times New Roman"/>
        </w:rPr>
        <w:t>аместител</w:t>
      </w:r>
      <w:r w:rsidR="009939BC">
        <w:rPr>
          <w:rFonts w:ascii="Times New Roman" w:hAnsi="Times New Roman"/>
        </w:rPr>
        <w:t>ь</w:t>
      </w:r>
      <w:r w:rsidR="00DF56C1">
        <w:rPr>
          <w:rFonts w:ascii="Times New Roman" w:hAnsi="Times New Roman"/>
        </w:rPr>
        <w:t xml:space="preserve"> </w:t>
      </w:r>
      <w:r w:rsidR="006751FA">
        <w:rPr>
          <w:rFonts w:ascii="Times New Roman" w:hAnsi="Times New Roman"/>
        </w:rPr>
        <w:t>г</w:t>
      </w:r>
      <w:r w:rsidR="00863EE6">
        <w:rPr>
          <w:rFonts w:ascii="Times New Roman" w:hAnsi="Times New Roman"/>
        </w:rPr>
        <w:t xml:space="preserve">лавы Нюксенского муниципального округа  </w:t>
      </w:r>
      <w:r>
        <w:rPr>
          <w:rFonts w:ascii="Times New Roman" w:hAnsi="Times New Roman"/>
        </w:rPr>
        <w:t xml:space="preserve">     </w:t>
      </w:r>
      <w:r w:rsidR="00C27122">
        <w:rPr>
          <w:rFonts w:ascii="Times New Roman" w:hAnsi="Times New Roman"/>
        </w:rPr>
        <w:t xml:space="preserve">                                                                             </w:t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DF56C1">
        <w:rPr>
          <w:rFonts w:ascii="Times New Roman" w:hAnsi="Times New Roman"/>
        </w:rPr>
        <w:tab/>
      </w:r>
      <w:r w:rsidR="00EF4EB2">
        <w:rPr>
          <w:rFonts w:ascii="Times New Roman" w:hAnsi="Times New Roman"/>
        </w:rPr>
        <w:t xml:space="preserve">             </w:t>
      </w:r>
      <w:r w:rsidR="00DA6516">
        <w:rPr>
          <w:rFonts w:ascii="Times New Roman" w:hAnsi="Times New Roman"/>
        </w:rPr>
        <w:t xml:space="preserve">         </w:t>
      </w:r>
      <w:r w:rsidR="009F4622">
        <w:rPr>
          <w:rFonts w:ascii="Times New Roman" w:hAnsi="Times New Roman"/>
        </w:rPr>
        <w:t>И. А. Бибина</w:t>
      </w:r>
      <w:r w:rsidR="00DA6516">
        <w:rPr>
          <w:rFonts w:ascii="Times New Roman" w:hAnsi="Times New Roman"/>
        </w:rPr>
        <w:t xml:space="preserve"> </w:t>
      </w:r>
      <w:r w:rsidR="00B07A42">
        <w:rPr>
          <w:rFonts w:ascii="Times New Roman" w:hAnsi="Times New Roman"/>
        </w:rPr>
        <w:t xml:space="preserve">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9F4622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0F4D45">
        <w:rPr>
          <w:rFonts w:ascii="Times New Roman" w:hAnsi="Times New Roman"/>
        </w:rPr>
        <w:t xml:space="preserve">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</w:t>
      </w:r>
      <w:r w:rsidR="00040D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 И. Чурина</w:t>
      </w:r>
    </w:p>
    <w:p w:rsidR="000F4D45" w:rsidRDefault="000F4D45"/>
    <w:sectPr w:rsidR="000F4D45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94" w:rsidRDefault="003F6D94" w:rsidP="008A00BD">
      <w:pPr>
        <w:spacing w:after="0" w:line="240" w:lineRule="auto"/>
      </w:pPr>
      <w:r>
        <w:separator/>
      </w:r>
    </w:p>
  </w:endnote>
  <w:endnote w:type="continuationSeparator" w:id="0">
    <w:p w:rsidR="003F6D94" w:rsidRDefault="003F6D94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94" w:rsidRDefault="003F6D94" w:rsidP="008A00BD">
      <w:pPr>
        <w:spacing w:after="0" w:line="240" w:lineRule="auto"/>
      </w:pPr>
      <w:r>
        <w:separator/>
      </w:r>
    </w:p>
  </w:footnote>
  <w:footnote w:type="continuationSeparator" w:id="0">
    <w:p w:rsidR="003F6D94" w:rsidRDefault="003F6D94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BF5"/>
    <w:rsid w:val="0000642B"/>
    <w:rsid w:val="00010E17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4834"/>
    <w:rsid w:val="00074894"/>
    <w:rsid w:val="0008099C"/>
    <w:rsid w:val="00083A70"/>
    <w:rsid w:val="00085515"/>
    <w:rsid w:val="000900A2"/>
    <w:rsid w:val="000902F0"/>
    <w:rsid w:val="00093B7D"/>
    <w:rsid w:val="0009748A"/>
    <w:rsid w:val="000A3E4F"/>
    <w:rsid w:val="000B6D5D"/>
    <w:rsid w:val="000C4638"/>
    <w:rsid w:val="000C6649"/>
    <w:rsid w:val="000D2B05"/>
    <w:rsid w:val="000E0341"/>
    <w:rsid w:val="000E100F"/>
    <w:rsid w:val="000E2444"/>
    <w:rsid w:val="000E7CE9"/>
    <w:rsid w:val="000F4D45"/>
    <w:rsid w:val="000F4ECF"/>
    <w:rsid w:val="001007E9"/>
    <w:rsid w:val="00101260"/>
    <w:rsid w:val="00122505"/>
    <w:rsid w:val="00124406"/>
    <w:rsid w:val="00127BEB"/>
    <w:rsid w:val="00130F0E"/>
    <w:rsid w:val="00131C6A"/>
    <w:rsid w:val="001325A2"/>
    <w:rsid w:val="001404BB"/>
    <w:rsid w:val="001425E6"/>
    <w:rsid w:val="0015010F"/>
    <w:rsid w:val="001615BB"/>
    <w:rsid w:val="00167D68"/>
    <w:rsid w:val="00171264"/>
    <w:rsid w:val="0017158F"/>
    <w:rsid w:val="00172187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7262"/>
    <w:rsid w:val="001C2E64"/>
    <w:rsid w:val="001C43E9"/>
    <w:rsid w:val="001C624B"/>
    <w:rsid w:val="001D2A39"/>
    <w:rsid w:val="001D6454"/>
    <w:rsid w:val="001D6F00"/>
    <w:rsid w:val="001E0947"/>
    <w:rsid w:val="001E6A40"/>
    <w:rsid w:val="001F6304"/>
    <w:rsid w:val="001F6511"/>
    <w:rsid w:val="001F79A4"/>
    <w:rsid w:val="0020171B"/>
    <w:rsid w:val="0021041E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4A03"/>
    <w:rsid w:val="0024611F"/>
    <w:rsid w:val="0024622A"/>
    <w:rsid w:val="0024715C"/>
    <w:rsid w:val="00247652"/>
    <w:rsid w:val="00251027"/>
    <w:rsid w:val="00252B68"/>
    <w:rsid w:val="00256924"/>
    <w:rsid w:val="00263228"/>
    <w:rsid w:val="002717F8"/>
    <w:rsid w:val="0027418C"/>
    <w:rsid w:val="00285011"/>
    <w:rsid w:val="00290262"/>
    <w:rsid w:val="002975F7"/>
    <w:rsid w:val="002A76D4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2A59"/>
    <w:rsid w:val="003336E0"/>
    <w:rsid w:val="003354CD"/>
    <w:rsid w:val="003416FE"/>
    <w:rsid w:val="00355B1A"/>
    <w:rsid w:val="003573CD"/>
    <w:rsid w:val="003609C4"/>
    <w:rsid w:val="00366ADC"/>
    <w:rsid w:val="00371642"/>
    <w:rsid w:val="00380827"/>
    <w:rsid w:val="003866CF"/>
    <w:rsid w:val="00390039"/>
    <w:rsid w:val="00391ADA"/>
    <w:rsid w:val="00393709"/>
    <w:rsid w:val="00394E53"/>
    <w:rsid w:val="003A1905"/>
    <w:rsid w:val="003A3AE5"/>
    <w:rsid w:val="003B1911"/>
    <w:rsid w:val="003B25E7"/>
    <w:rsid w:val="003B68E2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30993"/>
    <w:rsid w:val="00434B8A"/>
    <w:rsid w:val="00436458"/>
    <w:rsid w:val="00440730"/>
    <w:rsid w:val="0044336F"/>
    <w:rsid w:val="00443660"/>
    <w:rsid w:val="004474FF"/>
    <w:rsid w:val="00456688"/>
    <w:rsid w:val="004576E7"/>
    <w:rsid w:val="00465E56"/>
    <w:rsid w:val="004725A3"/>
    <w:rsid w:val="00474BDB"/>
    <w:rsid w:val="00477C30"/>
    <w:rsid w:val="004801E5"/>
    <w:rsid w:val="0048724F"/>
    <w:rsid w:val="00490388"/>
    <w:rsid w:val="00493A65"/>
    <w:rsid w:val="004A51AD"/>
    <w:rsid w:val="004B2B19"/>
    <w:rsid w:val="004B6701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5731"/>
    <w:rsid w:val="005513A1"/>
    <w:rsid w:val="00551F3B"/>
    <w:rsid w:val="00560A19"/>
    <w:rsid w:val="00561318"/>
    <w:rsid w:val="00563D9E"/>
    <w:rsid w:val="00571EFA"/>
    <w:rsid w:val="00577045"/>
    <w:rsid w:val="00577EBB"/>
    <w:rsid w:val="00582101"/>
    <w:rsid w:val="00582C60"/>
    <w:rsid w:val="00586168"/>
    <w:rsid w:val="0059140F"/>
    <w:rsid w:val="00593774"/>
    <w:rsid w:val="0059525C"/>
    <w:rsid w:val="00596B25"/>
    <w:rsid w:val="00597660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31961"/>
    <w:rsid w:val="00632873"/>
    <w:rsid w:val="00642765"/>
    <w:rsid w:val="00643EDD"/>
    <w:rsid w:val="00645F92"/>
    <w:rsid w:val="006515C1"/>
    <w:rsid w:val="00652DDC"/>
    <w:rsid w:val="00667D14"/>
    <w:rsid w:val="00674C12"/>
    <w:rsid w:val="006751FA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3CE4"/>
    <w:rsid w:val="007448F3"/>
    <w:rsid w:val="007471FA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B9B"/>
    <w:rsid w:val="007C4612"/>
    <w:rsid w:val="007C7037"/>
    <w:rsid w:val="007E7234"/>
    <w:rsid w:val="007F38DC"/>
    <w:rsid w:val="007F654D"/>
    <w:rsid w:val="00802277"/>
    <w:rsid w:val="00804024"/>
    <w:rsid w:val="00806AC9"/>
    <w:rsid w:val="00815AEF"/>
    <w:rsid w:val="0081667D"/>
    <w:rsid w:val="00816E2C"/>
    <w:rsid w:val="00821B86"/>
    <w:rsid w:val="008317EB"/>
    <w:rsid w:val="00833041"/>
    <w:rsid w:val="00840BE8"/>
    <w:rsid w:val="00841611"/>
    <w:rsid w:val="00843BA9"/>
    <w:rsid w:val="00853BF5"/>
    <w:rsid w:val="00863EE6"/>
    <w:rsid w:val="008662B5"/>
    <w:rsid w:val="00874CA4"/>
    <w:rsid w:val="008807BE"/>
    <w:rsid w:val="008823CA"/>
    <w:rsid w:val="00883B1E"/>
    <w:rsid w:val="0089088E"/>
    <w:rsid w:val="00891932"/>
    <w:rsid w:val="008A00BD"/>
    <w:rsid w:val="008A2841"/>
    <w:rsid w:val="008A6861"/>
    <w:rsid w:val="008B1282"/>
    <w:rsid w:val="008B545F"/>
    <w:rsid w:val="008B72B3"/>
    <w:rsid w:val="008B79E0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31B75"/>
    <w:rsid w:val="00935EA2"/>
    <w:rsid w:val="00940604"/>
    <w:rsid w:val="00945D5A"/>
    <w:rsid w:val="00950343"/>
    <w:rsid w:val="00950DDD"/>
    <w:rsid w:val="009529B3"/>
    <w:rsid w:val="009545FA"/>
    <w:rsid w:val="0095510F"/>
    <w:rsid w:val="00957ECE"/>
    <w:rsid w:val="00962738"/>
    <w:rsid w:val="009669FB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5828"/>
    <w:rsid w:val="009A1D5F"/>
    <w:rsid w:val="009A5096"/>
    <w:rsid w:val="009B0F9F"/>
    <w:rsid w:val="009B3DF6"/>
    <w:rsid w:val="009B565A"/>
    <w:rsid w:val="009B6AF4"/>
    <w:rsid w:val="009C2F91"/>
    <w:rsid w:val="009C3FEA"/>
    <w:rsid w:val="009C63EC"/>
    <w:rsid w:val="009D0F3A"/>
    <w:rsid w:val="009D11CD"/>
    <w:rsid w:val="009D1C70"/>
    <w:rsid w:val="009D5C61"/>
    <w:rsid w:val="009D7413"/>
    <w:rsid w:val="009E1A6A"/>
    <w:rsid w:val="009F4622"/>
    <w:rsid w:val="009F6665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40121"/>
    <w:rsid w:val="00A465CA"/>
    <w:rsid w:val="00A4744F"/>
    <w:rsid w:val="00A6139C"/>
    <w:rsid w:val="00A63371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5D0"/>
    <w:rsid w:val="00B035A0"/>
    <w:rsid w:val="00B07A42"/>
    <w:rsid w:val="00B10606"/>
    <w:rsid w:val="00B11047"/>
    <w:rsid w:val="00B13E85"/>
    <w:rsid w:val="00B14A87"/>
    <w:rsid w:val="00B22A87"/>
    <w:rsid w:val="00B31699"/>
    <w:rsid w:val="00B33CC1"/>
    <w:rsid w:val="00B33D91"/>
    <w:rsid w:val="00B348B3"/>
    <w:rsid w:val="00B34A39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7288B"/>
    <w:rsid w:val="00B81FC6"/>
    <w:rsid w:val="00B8246F"/>
    <w:rsid w:val="00B82D73"/>
    <w:rsid w:val="00B848F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F03E5"/>
    <w:rsid w:val="00BF191F"/>
    <w:rsid w:val="00C03528"/>
    <w:rsid w:val="00C12F05"/>
    <w:rsid w:val="00C16F29"/>
    <w:rsid w:val="00C27122"/>
    <w:rsid w:val="00C31741"/>
    <w:rsid w:val="00C353C9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5F21"/>
    <w:rsid w:val="00CA78C8"/>
    <w:rsid w:val="00CA7E5F"/>
    <w:rsid w:val="00CB480C"/>
    <w:rsid w:val="00CB7BEA"/>
    <w:rsid w:val="00CC02AB"/>
    <w:rsid w:val="00CD09C2"/>
    <w:rsid w:val="00CD1E5F"/>
    <w:rsid w:val="00CD6CF9"/>
    <w:rsid w:val="00CF09C5"/>
    <w:rsid w:val="00CF0C39"/>
    <w:rsid w:val="00CF31E6"/>
    <w:rsid w:val="00D239E3"/>
    <w:rsid w:val="00D26169"/>
    <w:rsid w:val="00D3280A"/>
    <w:rsid w:val="00D37937"/>
    <w:rsid w:val="00D41EF0"/>
    <w:rsid w:val="00D5577C"/>
    <w:rsid w:val="00D57D6B"/>
    <w:rsid w:val="00D72428"/>
    <w:rsid w:val="00D7664B"/>
    <w:rsid w:val="00D8501F"/>
    <w:rsid w:val="00DA4763"/>
    <w:rsid w:val="00DA6409"/>
    <w:rsid w:val="00DA6516"/>
    <w:rsid w:val="00DA7E73"/>
    <w:rsid w:val="00DB1D8E"/>
    <w:rsid w:val="00DB6138"/>
    <w:rsid w:val="00DE645A"/>
    <w:rsid w:val="00DF0E3B"/>
    <w:rsid w:val="00DF35B8"/>
    <w:rsid w:val="00DF56C1"/>
    <w:rsid w:val="00DF6116"/>
    <w:rsid w:val="00E12BCA"/>
    <w:rsid w:val="00E13FDA"/>
    <w:rsid w:val="00E17F67"/>
    <w:rsid w:val="00E21172"/>
    <w:rsid w:val="00E40138"/>
    <w:rsid w:val="00E4164C"/>
    <w:rsid w:val="00E54E60"/>
    <w:rsid w:val="00E60F85"/>
    <w:rsid w:val="00E65BAE"/>
    <w:rsid w:val="00E7760B"/>
    <w:rsid w:val="00E80695"/>
    <w:rsid w:val="00E90F94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2F8A"/>
    <w:rsid w:val="00F060F2"/>
    <w:rsid w:val="00F23A67"/>
    <w:rsid w:val="00F309AD"/>
    <w:rsid w:val="00F30CB3"/>
    <w:rsid w:val="00F32AF8"/>
    <w:rsid w:val="00F3561B"/>
    <w:rsid w:val="00F422B9"/>
    <w:rsid w:val="00F47EB8"/>
    <w:rsid w:val="00F51BC9"/>
    <w:rsid w:val="00F55686"/>
    <w:rsid w:val="00F65F15"/>
    <w:rsid w:val="00F660B4"/>
    <w:rsid w:val="00F668FE"/>
    <w:rsid w:val="00F716C0"/>
    <w:rsid w:val="00F7318E"/>
    <w:rsid w:val="00F74D5D"/>
    <w:rsid w:val="00F82887"/>
    <w:rsid w:val="00F84381"/>
    <w:rsid w:val="00F90D41"/>
    <w:rsid w:val="00F93F14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328A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2040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D2E5-20EF-4962-BD0C-E1B301E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506</cp:revision>
  <cp:lastPrinted>2023-01-23T14:52:00Z</cp:lastPrinted>
  <dcterms:created xsi:type="dcterms:W3CDTF">2019-04-16T09:14:00Z</dcterms:created>
  <dcterms:modified xsi:type="dcterms:W3CDTF">2023-04-24T13:40:00Z</dcterms:modified>
</cp:coreProperties>
</file>