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>Нюксенского муниципального района на 20</w:t>
      </w:r>
      <w:r w:rsidR="006D3D00" w:rsidRPr="006D3D00">
        <w:rPr>
          <w:rFonts w:ascii="Times New Roman" w:hAnsi="Times New Roman"/>
          <w:b/>
          <w:sz w:val="22"/>
          <w:szCs w:val="24"/>
        </w:rPr>
        <w:t>21</w:t>
      </w:r>
      <w:r w:rsidRPr="006D3D00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D3D00">
        <w:rPr>
          <w:rFonts w:ascii="Times New Roman" w:hAnsi="Times New Roman"/>
          <w:b/>
          <w:sz w:val="22"/>
          <w:szCs w:val="24"/>
        </w:rPr>
        <w:t>5</w:t>
      </w:r>
      <w:r w:rsidRPr="006D3D00">
        <w:rPr>
          <w:rFonts w:ascii="Times New Roman" w:hAnsi="Times New Roman"/>
          <w:b/>
          <w:sz w:val="22"/>
          <w:szCs w:val="24"/>
        </w:rPr>
        <w:t xml:space="preserve"> годы»</w:t>
      </w:r>
      <w:r w:rsidRPr="004F501A">
        <w:rPr>
          <w:rFonts w:ascii="Times New Roman" w:hAnsi="Times New Roman"/>
          <w:b/>
          <w:sz w:val="22"/>
          <w:szCs w:val="24"/>
        </w:rPr>
        <w:t xml:space="preserve"> за </w:t>
      </w:r>
      <w:r w:rsidR="007339F1">
        <w:rPr>
          <w:rFonts w:ascii="Times New Roman" w:hAnsi="Times New Roman"/>
          <w:b/>
          <w:sz w:val="22"/>
          <w:szCs w:val="24"/>
        </w:rPr>
        <w:t>1 полугодие</w:t>
      </w:r>
      <w:r w:rsidRPr="004F501A">
        <w:rPr>
          <w:rFonts w:ascii="Times New Roman" w:hAnsi="Times New Roman"/>
          <w:b/>
          <w:sz w:val="22"/>
          <w:szCs w:val="24"/>
        </w:rPr>
        <w:t xml:space="preserve"> 202</w:t>
      </w:r>
      <w:r w:rsidR="00A97FD9">
        <w:rPr>
          <w:rFonts w:ascii="Times New Roman" w:hAnsi="Times New Roman"/>
          <w:b/>
          <w:sz w:val="22"/>
          <w:szCs w:val="24"/>
        </w:rPr>
        <w:t>2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08" w:type="pct"/>
        <w:tblCellSpacing w:w="5" w:type="nil"/>
        <w:tblInd w:w="-1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"/>
        <w:gridCol w:w="6149"/>
        <w:gridCol w:w="1138"/>
        <w:gridCol w:w="1836"/>
        <w:gridCol w:w="1334"/>
        <w:gridCol w:w="1300"/>
        <w:gridCol w:w="1808"/>
      </w:tblGrid>
      <w:tr w:rsidR="00F13788" w:rsidRPr="004F501A" w:rsidTr="007C2DEB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7C2DEB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7C2DEB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7C2DEB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7C2DEB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Муниципальная программа «Развитие культуры и туризма Нюксенского муниципального района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библиотечных фондов, занесенных в электронные каталоги, в общем объеме фондов общедоступных библиотек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11,8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F41832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339F1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33D8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Pr="00082A63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2A63">
              <w:rPr>
                <w:rFonts w:ascii="Times New Roman" w:hAnsi="Times New Roman"/>
                <w:color w:val="000000"/>
                <w:szCs w:val="24"/>
              </w:rPr>
              <w:t>9,9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8A036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C2DEB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082A63" w:rsidRDefault="007339F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225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8D5A32">
              <w:rPr>
                <w:rFonts w:ascii="Times New Roman" w:hAnsi="Times New Roman"/>
                <w:szCs w:val="24"/>
              </w:rPr>
              <w:t>приобщенность</w:t>
            </w:r>
            <w:proofErr w:type="spellEnd"/>
            <w:r w:rsidRPr="008D5A32">
              <w:rPr>
                <w:rFonts w:ascii="Times New Roman" w:hAnsi="Times New Roman"/>
                <w:szCs w:val="24"/>
              </w:rPr>
              <w:t xml:space="preserve"> населения района к </w:t>
            </w:r>
            <w:proofErr w:type="gramStart"/>
            <w:r w:rsidRPr="008D5A32">
              <w:rPr>
                <w:rFonts w:ascii="Times New Roman" w:hAnsi="Times New Roman"/>
                <w:szCs w:val="24"/>
              </w:rPr>
              <w:t>культуре  через</w:t>
            </w:r>
            <w:proofErr w:type="gramEnd"/>
            <w:r w:rsidRPr="008D5A32">
              <w:rPr>
                <w:rFonts w:ascii="Times New Roman" w:hAnsi="Times New Roman"/>
                <w:szCs w:val="24"/>
              </w:rPr>
              <w:t xml:space="preserve"> посещения учреждений (мероприятий) культуры, посещений на 1 жителя </w:t>
            </w:r>
          </w:p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9,98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13,83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339F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12,21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1330C6" w:rsidRDefault="007C2DEB" w:rsidP="007C2D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7C2DEB" w:rsidP="007C2DE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B33D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339F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место Нюксенского муниципального района среди районов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2577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rHeight w:val="43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число посетителей Нюксенского района (туристов и экскурсантов)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E7032"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339F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13,341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количество отремонтированных объектов муниципальной собственности сферы культуры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C2D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DD4090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E80252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330C6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1330C6">
              <w:rPr>
                <w:rFonts w:ascii="Times New Roman" w:hAnsi="Times New Roman"/>
                <w:sz w:val="20"/>
              </w:rPr>
              <w:t>Выиграли конкурс на лучшего работника культуры</w:t>
            </w:r>
          </w:p>
        </w:tc>
      </w:tr>
      <w:tr w:rsidR="007C2DEB" w:rsidRPr="004F501A" w:rsidTr="007C2DEB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района.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b/>
          <w:sz w:val="22"/>
          <w:szCs w:val="24"/>
        </w:rPr>
      </w:pPr>
    </w:p>
    <w:p w:rsidR="00642577" w:rsidRDefault="00642577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4F501A" w:rsidRPr="004F501A" w:rsidRDefault="00CB3E59" w:rsidP="004F501A">
      <w:pPr>
        <w:spacing w:after="200" w:line="276" w:lineRule="auto"/>
        <w:jc w:val="center"/>
        <w:rPr>
          <w:rFonts w:ascii="Times New Roman" w:hAnsi="Times New Roman"/>
          <w:b/>
          <w:sz w:val="22"/>
          <w:szCs w:val="24"/>
        </w:rPr>
      </w:pP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 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7339F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7339F1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МБУК «Нюксенский районный краеведческий музей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Default="002905C4" w:rsidP="0040330F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7339F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7339F1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За прошедший период в краеведческом музее оформлено </w:t>
            </w:r>
            <w:r w:rsidR="00FE7BFA">
              <w:rPr>
                <w:rFonts w:ascii="Times New Roman" w:hAnsi="Times New Roman"/>
                <w:sz w:val="22"/>
                <w:szCs w:val="22"/>
              </w:rPr>
              <w:t>8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выставок. 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 индивидуальных п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осещений </w:t>
            </w:r>
            <w:r>
              <w:rPr>
                <w:rFonts w:ascii="Times New Roman" w:hAnsi="Times New Roman"/>
                <w:sz w:val="22"/>
                <w:szCs w:val="22"/>
              </w:rPr>
              <w:t>выставок и экспозиций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7339F1">
              <w:rPr>
                <w:rFonts w:ascii="Times New Roman" w:hAnsi="Times New Roman"/>
                <w:sz w:val="22"/>
                <w:szCs w:val="22"/>
              </w:rPr>
              <w:t>745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/>
                <w:sz w:val="22"/>
                <w:szCs w:val="22"/>
              </w:rPr>
              <w:t>а;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экскурсионных посещений – </w:t>
            </w:r>
            <w:r w:rsidR="007339F1">
              <w:rPr>
                <w:rFonts w:ascii="Times New Roman" w:hAnsi="Times New Roman"/>
                <w:sz w:val="22"/>
                <w:szCs w:val="22"/>
              </w:rPr>
              <w:t>1721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экскурсий – </w:t>
            </w:r>
            <w:r w:rsidR="00FE7BFA">
              <w:rPr>
                <w:rFonts w:ascii="Times New Roman" w:hAnsi="Times New Roman"/>
                <w:sz w:val="22"/>
                <w:szCs w:val="22"/>
              </w:rPr>
              <w:t xml:space="preserve">102 </w:t>
            </w:r>
            <w:r>
              <w:rPr>
                <w:rFonts w:ascii="Times New Roman" w:hAnsi="Times New Roman"/>
                <w:sz w:val="22"/>
                <w:szCs w:val="22"/>
              </w:rPr>
              <w:t>единицы;</w:t>
            </w:r>
          </w:p>
          <w:p w:rsidR="002905C4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2905C4">
              <w:rPr>
                <w:rFonts w:ascii="Times New Roman" w:hAnsi="Times New Roman"/>
                <w:sz w:val="22"/>
                <w:szCs w:val="22"/>
              </w:rPr>
              <w:t>Количество культурно-</w:t>
            </w:r>
            <w:r w:rsidR="0067136D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05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мероприятий – </w:t>
            </w:r>
            <w:r w:rsidR="00FE7BFA">
              <w:rPr>
                <w:rFonts w:ascii="Times New Roman" w:hAnsi="Times New Roman"/>
                <w:sz w:val="22"/>
                <w:szCs w:val="22"/>
              </w:rPr>
              <w:t xml:space="preserve">61 </w:t>
            </w:r>
            <w:r w:rsidRPr="002905C4">
              <w:rPr>
                <w:rFonts w:ascii="Times New Roman" w:hAnsi="Times New Roman"/>
                <w:sz w:val="22"/>
                <w:szCs w:val="22"/>
              </w:rPr>
              <w:t>единицы;</w:t>
            </w:r>
          </w:p>
          <w:p w:rsidR="002905C4" w:rsidRPr="004F501A" w:rsidRDefault="0067136D" w:rsidP="00FE7BFA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культурно-образовательных мероприятий – </w:t>
            </w:r>
            <w:r w:rsidR="00FE7BFA">
              <w:rPr>
                <w:rFonts w:ascii="Times New Roman" w:hAnsi="Times New Roman"/>
                <w:sz w:val="22"/>
                <w:szCs w:val="22"/>
              </w:rPr>
              <w:t>1214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7136D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7136D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развитие 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7136D" w:rsidRPr="004F501A" w:rsidRDefault="0067136D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7136D" w:rsidRPr="004F501A" w:rsidRDefault="0067136D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>укрепление духовной общности, сохранение и развитие народной культуры, популяризация истории и традиций Нюксенского района;</w:t>
            </w:r>
          </w:p>
        </w:tc>
        <w:tc>
          <w:tcPr>
            <w:tcW w:w="2316" w:type="dxa"/>
            <w:noWrap/>
            <w:hideMark/>
          </w:tcPr>
          <w:p w:rsidR="0067136D" w:rsidRPr="004F501A" w:rsidRDefault="0056078E" w:rsidP="00051FCC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56078E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56078E">
              <w:rPr>
                <w:rFonts w:ascii="Times New Roman" w:hAnsi="Times New Roman"/>
                <w:sz w:val="22"/>
                <w:szCs w:val="22"/>
              </w:rPr>
              <w:t>объектов</w:t>
            </w:r>
            <w:proofErr w:type="gramEnd"/>
            <w:r w:rsidRPr="0056078E">
              <w:rPr>
                <w:rFonts w:ascii="Times New Roman" w:hAnsi="Times New Roman"/>
                <w:sz w:val="22"/>
                <w:szCs w:val="22"/>
              </w:rPr>
              <w:t xml:space="preserve"> введенных в культурный оборот -</w:t>
            </w:r>
            <w:r w:rsidR="00FE7BFA">
              <w:rPr>
                <w:rFonts w:ascii="Times New Roman" w:hAnsi="Times New Roman"/>
                <w:sz w:val="22"/>
                <w:szCs w:val="22"/>
              </w:rPr>
              <w:t>6</w:t>
            </w:r>
            <w:r w:rsidR="00051FCC">
              <w:rPr>
                <w:rFonts w:ascii="Times New Roman" w:hAnsi="Times New Roman"/>
                <w:sz w:val="22"/>
                <w:szCs w:val="22"/>
              </w:rPr>
              <w:t>8</w:t>
            </w:r>
            <w:r w:rsidRPr="0056078E">
              <w:rPr>
                <w:rFonts w:ascii="Times New Roman" w:hAnsi="Times New Roman"/>
                <w:sz w:val="22"/>
                <w:szCs w:val="22"/>
              </w:rPr>
              <w:t xml:space="preserve"> единиц</w:t>
            </w:r>
            <w:r w:rsidR="00FE7B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  <w:hideMark/>
          </w:tcPr>
          <w:p w:rsidR="0067136D" w:rsidRPr="004F501A" w:rsidRDefault="0067136D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D3D00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D3D00" w:rsidRPr="00442733" w:rsidRDefault="006D3D00" w:rsidP="004E271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района в области народной традиционной культуры  </w:t>
            </w:r>
          </w:p>
        </w:tc>
        <w:tc>
          <w:tcPr>
            <w:tcW w:w="2304" w:type="dxa"/>
            <w:noWrap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МБУК «Нюксенский районный ЦТНК»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МБУКиТ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«Районный этно- 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D3D00" w:rsidRPr="004F501A" w:rsidRDefault="006D3D0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D3D00" w:rsidRPr="004F501A" w:rsidRDefault="006D3D0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 xml:space="preserve">полугодие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1330C6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Укрепление духовной общности, сохранение и развитие народной культуры, популяризация истории и традиций Нюксенского района</w:t>
            </w:r>
          </w:p>
        </w:tc>
        <w:tc>
          <w:tcPr>
            <w:tcW w:w="2316" w:type="dxa"/>
            <w:noWrap/>
            <w:hideMark/>
          </w:tcPr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Все запланированные мероприятия проведены.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мероприятий межрегионального, всероссийского, международного уровней, в которых приняли участие руководители</w:t>
            </w:r>
            <w:r w:rsidRPr="0067136D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участники клубных формирований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Районный фестивалей в области народной культуры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районных фестивалей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6687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6D3D00" w:rsidRDefault="006D3D0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мероприятий в сфере ТНК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372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D3D00" w:rsidRPr="0067136D" w:rsidRDefault="006D3D00" w:rsidP="00051FCC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участников мероприятий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3437</w:t>
            </w:r>
            <w:r w:rsidR="001330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6D3D00" w:rsidRPr="004F501A" w:rsidRDefault="006D3D0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958FA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условий для равноценного доступа населения района к информационным ресурсам путем развития и модернизации информационно-библиотечной системы района</w:t>
            </w:r>
          </w:p>
        </w:tc>
        <w:tc>
          <w:tcPr>
            <w:tcW w:w="2316" w:type="dxa"/>
            <w:vMerge w:val="restart"/>
            <w:noWrap/>
            <w:hideMark/>
          </w:tcPr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В отчетного периода библиотеки района провели множество </w:t>
            </w:r>
            <w:proofErr w:type="gramStart"/>
            <w:r w:rsidRPr="004F501A">
              <w:rPr>
                <w:rFonts w:ascii="Times New Roman" w:hAnsi="Times New Roman"/>
                <w:sz w:val="22"/>
                <w:szCs w:val="22"/>
              </w:rPr>
              <w:t>мероприятий  по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всем направлениям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799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единиц.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посещений библиотечных мероприятий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3382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зарегистрированных пользователей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3534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посещений библиотек в стационарных условиях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28393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человек, вне стационара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3747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  <w:p w:rsidR="003958F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Число удаленных пользователей – </w:t>
            </w:r>
            <w:r w:rsidR="00051FCC">
              <w:rPr>
                <w:rFonts w:ascii="Times New Roman" w:hAnsi="Times New Roman"/>
                <w:sz w:val="22"/>
                <w:szCs w:val="22"/>
              </w:rPr>
              <w:t>635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 w:rsidR="005A50E0"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 w:rsidR="005A50E0"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958FA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Мероприятия, направленные на комплектование книжных фондов </w:t>
            </w:r>
            <w:r>
              <w:rPr>
                <w:rFonts w:ascii="Times New Roman" w:hAnsi="Times New Roman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 приобретена, все денежные средства освоены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1-2025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5A50E0" w:rsidRPr="004F501A" w:rsidRDefault="005A50E0" w:rsidP="002003F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 xml:space="preserve">Планируемое выполнение мероприятия в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квартале 202</w:t>
            </w:r>
            <w:r w:rsidR="002003FF">
              <w:rPr>
                <w:rFonts w:ascii="Times New Roman" w:hAnsi="Times New Roman"/>
                <w:sz w:val="22"/>
                <w:szCs w:val="22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Отдел культуры и спорта администрации района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На сегодняшний день в МБУ ДО «Нюксенская детская музыкальная школа» обучается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«Хореография»). </w:t>
            </w:r>
          </w:p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«Хореография»,  отделение эстрадного вокала. Занятия проводятся по адаптированным программам по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>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МБУ ДО «Нюксенская детская музыкальная школа»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Повышение качества услуг по предоставлению дополнительного 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051FC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051FCC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созданию условий укрепления единого культурного пространства района, формирования и развития межрайонных и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5A50E0" w:rsidRPr="00561C24" w:rsidRDefault="005A50E0" w:rsidP="00BC5A86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561C24">
              <w:rPr>
                <w:rFonts w:ascii="Times New Roman" w:hAnsi="Times New Roman"/>
                <w:sz w:val="22"/>
                <w:szCs w:val="22"/>
              </w:rPr>
              <w:t xml:space="preserve">В 1 </w:t>
            </w:r>
            <w:r w:rsidR="00BC5A86">
              <w:rPr>
                <w:rFonts w:ascii="Times New Roman" w:hAnsi="Times New Roman"/>
                <w:sz w:val="22"/>
                <w:szCs w:val="22"/>
              </w:rPr>
              <w:t>полугодии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61C24">
              <w:rPr>
                <w:rFonts w:ascii="Times New Roman" w:hAnsi="Times New Roman"/>
                <w:sz w:val="22"/>
                <w:szCs w:val="22"/>
              </w:rPr>
              <w:t>202</w:t>
            </w:r>
            <w:r w:rsidR="00051FCC">
              <w:rPr>
                <w:rFonts w:ascii="Times New Roman" w:hAnsi="Times New Roman"/>
                <w:sz w:val="22"/>
                <w:szCs w:val="22"/>
              </w:rPr>
              <w:t>2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  года</w:t>
            </w:r>
            <w:proofErr w:type="gramEnd"/>
            <w:r w:rsidRPr="00561C24">
              <w:rPr>
                <w:rFonts w:ascii="Times New Roman" w:hAnsi="Times New Roman"/>
                <w:sz w:val="22"/>
                <w:szCs w:val="22"/>
              </w:rPr>
              <w:t xml:space="preserve"> МБУК «Нюксенский районный ЦКР» района проведено </w:t>
            </w:r>
            <w:r w:rsidR="00BC5A86">
              <w:rPr>
                <w:rFonts w:ascii="Times New Roman" w:hAnsi="Times New Roman"/>
                <w:sz w:val="22"/>
                <w:szCs w:val="22"/>
              </w:rPr>
              <w:t>292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 xml:space="preserve"> массовых мероприятий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. Число посетителей составило – </w:t>
            </w:r>
            <w:r w:rsidR="00BC5A86">
              <w:rPr>
                <w:rFonts w:ascii="Times New Roman" w:hAnsi="Times New Roman"/>
                <w:sz w:val="22"/>
                <w:szCs w:val="22"/>
              </w:rPr>
              <w:t>15012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. Количество клубных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10</w:t>
            </w:r>
            <w:r w:rsidR="00051FCC">
              <w:rPr>
                <w:rFonts w:ascii="Times New Roman" w:hAnsi="Times New Roman"/>
                <w:sz w:val="22"/>
                <w:szCs w:val="22"/>
              </w:rPr>
              <w:t>6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 xml:space="preserve">, количество участников 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12</w:t>
            </w:r>
            <w:r w:rsidR="00051FCC">
              <w:rPr>
                <w:rFonts w:ascii="Times New Roman" w:hAnsi="Times New Roman"/>
                <w:sz w:val="22"/>
                <w:szCs w:val="22"/>
              </w:rPr>
              <w:t>81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>человек</w:t>
            </w:r>
            <w:r w:rsidR="00561C24" w:rsidRPr="00561C24">
              <w:rPr>
                <w:rFonts w:ascii="Times New Roman" w:hAnsi="Times New Roman"/>
                <w:sz w:val="22"/>
                <w:szCs w:val="22"/>
              </w:rPr>
              <w:t>а</w:t>
            </w:r>
            <w:r w:rsidRPr="00561C2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 и спорта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BC5A86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благо-приятных условий для творческой деятельности и самореализации жителей района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5A50E0" w:rsidRPr="00561C24" w:rsidRDefault="005A50E0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0E0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A50E0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5A50E0" w:rsidRPr="00442733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Приобретение комплекта звукового и мультимедийного оборудования, мебели; настольных игр для оборудования детской комнаты</w:t>
            </w:r>
          </w:p>
        </w:tc>
        <w:tc>
          <w:tcPr>
            <w:tcW w:w="2304" w:type="dxa"/>
            <w:noWrap/>
            <w:vAlign w:val="center"/>
          </w:tcPr>
          <w:p w:rsidR="005A50E0" w:rsidRDefault="005A50E0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151E2B">
              <w:rPr>
                <w:rFonts w:ascii="Times New Roman" w:hAnsi="Times New Roman"/>
                <w:szCs w:val="24"/>
              </w:rPr>
              <w:t>Отдел культуры и спорта администрации Нюксенского муниципального района</w:t>
            </w:r>
          </w:p>
        </w:tc>
        <w:tc>
          <w:tcPr>
            <w:tcW w:w="1150" w:type="dxa"/>
            <w:noWrap/>
            <w:vAlign w:val="center"/>
          </w:tcPr>
          <w:p w:rsidR="005A50E0" w:rsidRPr="004F501A" w:rsidRDefault="005A50E0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A50E0" w:rsidRPr="004F501A" w:rsidRDefault="005A50E0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BC5A86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Проведение мероприятий, праздников, способствующих развитию творческой деятельности и самореализации жителей района</w:t>
            </w:r>
          </w:p>
        </w:tc>
        <w:tc>
          <w:tcPr>
            <w:tcW w:w="2316" w:type="dxa"/>
            <w:shd w:val="clear" w:color="auto" w:fill="auto"/>
            <w:noWrap/>
          </w:tcPr>
          <w:p w:rsidR="005A50E0" w:rsidRPr="00561C24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561C24">
              <w:rPr>
                <w:rFonts w:ascii="Times New Roman" w:hAnsi="Times New Roman"/>
                <w:szCs w:val="22"/>
              </w:rPr>
              <w:t>Мероприятие не проведено</w:t>
            </w:r>
          </w:p>
        </w:tc>
        <w:tc>
          <w:tcPr>
            <w:tcW w:w="2053" w:type="dxa"/>
            <w:noWrap/>
            <w:vAlign w:val="bottom"/>
          </w:tcPr>
          <w:p w:rsidR="005A50E0" w:rsidRPr="004F501A" w:rsidRDefault="005A50E0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 xml:space="preserve">Развитие туристического потенциала в Нюксенском 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561C2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BC5A86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поддержка проектов, направленная на развитие туризма на территории района;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проведение мероприятий, связанных с повышением качества туристских услуг;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>Интенсивное развитие туристических брендов «Нюксеница-</w:t>
            </w:r>
            <w:r w:rsidRPr="004F50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сокровищница народных традиций» и «Пожарище – национальная деревня Русского Севера» привлекают всё большое количество туристов в район. Туристические программы района включены в межрегиональный историко-культурный и туристический проект «Серебряное ожерелье России». За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BC5A86">
              <w:rPr>
                <w:rFonts w:ascii="Times New Roman" w:hAnsi="Times New Roman"/>
                <w:sz w:val="22"/>
                <w:szCs w:val="22"/>
              </w:rPr>
              <w:t>полугодие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BC5A8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года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 количество</w:t>
            </w:r>
            <w:proofErr w:type="gramEnd"/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посетителей района </w:t>
            </w:r>
            <w:r>
              <w:rPr>
                <w:rFonts w:ascii="Times New Roman" w:hAnsi="Times New Roman"/>
                <w:sz w:val="22"/>
                <w:szCs w:val="22"/>
              </w:rPr>
              <w:t>составило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 w:rsidR="00BC5A86">
              <w:rPr>
                <w:rFonts w:ascii="Times New Roman" w:hAnsi="Times New Roman"/>
                <w:sz w:val="22"/>
                <w:szCs w:val="22"/>
              </w:rPr>
              <w:t xml:space="preserve">13341 </w:t>
            </w:r>
            <w:r w:rsidRPr="004F501A"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61C24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561C2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благоприятных условий для развития туризма на территории района</w:t>
            </w:r>
          </w:p>
        </w:tc>
        <w:tc>
          <w:tcPr>
            <w:tcW w:w="2304" w:type="dxa"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Отдел культуры и спорта администрации района</w:t>
            </w:r>
          </w:p>
        </w:tc>
        <w:tc>
          <w:tcPr>
            <w:tcW w:w="1150" w:type="dxa"/>
            <w:noWrap/>
            <w:vAlign w:val="center"/>
          </w:tcPr>
          <w:p w:rsidR="00561C24" w:rsidRPr="004F501A" w:rsidRDefault="00561C2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561C24" w:rsidRPr="004F501A" w:rsidRDefault="00561C24" w:rsidP="00BC5A8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1 </w:t>
            </w:r>
            <w:r w:rsidR="00BC5A86">
              <w:rPr>
                <w:rFonts w:ascii="Times New Roman" w:hAnsi="Times New Roman"/>
                <w:sz w:val="22"/>
                <w:szCs w:val="24"/>
              </w:rPr>
              <w:t>полугодие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202</w:t>
            </w:r>
            <w:r w:rsidR="002003FF"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слётов, праздников, способствующих привлечению туристического потока в район </w:t>
            </w:r>
          </w:p>
        </w:tc>
        <w:tc>
          <w:tcPr>
            <w:tcW w:w="2316" w:type="dxa"/>
            <w:vMerge/>
            <w:noWrap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561C24" w:rsidRPr="004F501A" w:rsidRDefault="00561C2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1330C6" w:rsidRDefault="00561C24" w:rsidP="00FA4C79">
      <w:pPr>
        <w:spacing w:after="200" w:line="276" w:lineRule="auto"/>
        <w:jc w:val="center"/>
        <w:rPr>
          <w:rFonts w:ascii="Times New Roman" w:hAnsi="Times New Roman"/>
          <w:szCs w:val="24"/>
        </w:rPr>
      </w:pPr>
      <w:r>
        <w:br w:type="page"/>
      </w:r>
      <w:hyperlink r:id="rId9" w:history="1">
        <w:r w:rsidR="001330C6" w:rsidRPr="00353777">
          <w:rPr>
            <w:rFonts w:ascii="Times New Roman" w:hAnsi="Times New Roman"/>
            <w:szCs w:val="24"/>
          </w:rPr>
          <w:t>Отчет</w:t>
        </w:r>
      </w:hyperlink>
      <w:r w:rsidR="001330C6" w:rsidRPr="00353777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1 </w:t>
      </w:r>
      <w:r w:rsidR="007339F1">
        <w:rPr>
          <w:rFonts w:ascii="Times New Roman" w:hAnsi="Times New Roman"/>
          <w:szCs w:val="24"/>
        </w:rPr>
        <w:t>полугодие</w:t>
      </w:r>
      <w:r>
        <w:rPr>
          <w:rFonts w:ascii="Times New Roman" w:hAnsi="Times New Roman"/>
          <w:szCs w:val="24"/>
        </w:rPr>
        <w:t xml:space="preserve"> 2022 года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87BB1" w:rsidRPr="00353777" w:rsidTr="00B4463B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87BB1" w:rsidRPr="00353777" w:rsidTr="00B4463B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 и туризма Нюксенского муниципального района на 2021-2025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70 372,8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32 889,5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46,7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55 193,6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27 872,3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50,5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15 179,2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5017,2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33,1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442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587BB1" w:rsidRPr="00587BB1" w:rsidTr="00B4463B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10542,8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4655,4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44,2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3974,4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1880,3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47,3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6568,4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2775,1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42,2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87BB1" w:rsidRPr="00587BB1" w:rsidRDefault="00587BB1" w:rsidP="00587BB1">
      <w:pPr>
        <w:rPr>
          <w:rFonts w:ascii="Times New Roman" w:hAnsi="Times New Roman"/>
          <w:szCs w:val="24"/>
        </w:rPr>
        <w:sectPr w:rsidR="00587BB1" w:rsidRPr="00587BB1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87BB1" w:rsidRPr="00587BB1" w:rsidTr="00B4463B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Нюксенс</w:t>
            </w:r>
            <w:bookmarkStart w:id="0" w:name="_GoBack"/>
            <w:bookmarkEnd w:id="0"/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кого района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10339,4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5180,2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50,1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10287,3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5128,1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49,8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15235,7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6802,2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44,6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13198,5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6477,5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49,1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2037,2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15,9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3899,3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3064,2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78,6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3899,3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3064,2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78,6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587BB1" w:rsidRPr="00587BB1" w:rsidTr="00B4463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87BB1" w:rsidRPr="00587BB1" w:rsidRDefault="00587BB1" w:rsidP="00587BB1">
      <w:pPr>
        <w:rPr>
          <w:rFonts w:ascii="Times New Roman" w:hAnsi="Times New Roman"/>
          <w:szCs w:val="24"/>
        </w:rPr>
        <w:sectPr w:rsidR="00587BB1" w:rsidRPr="00587BB1" w:rsidSect="001D34DF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23312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4961"/>
        <w:gridCol w:w="1559"/>
        <w:gridCol w:w="1559"/>
        <w:gridCol w:w="1799"/>
        <w:gridCol w:w="1799"/>
        <w:gridCol w:w="1799"/>
        <w:gridCol w:w="1799"/>
        <w:gridCol w:w="1799"/>
      </w:tblGrid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18978,7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10488,4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18978,7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10488,4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</w:t>
            </w:r>
            <w:proofErr w:type="spellStart"/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Нюксенском</w:t>
            </w:r>
            <w:proofErr w:type="spellEnd"/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8286,4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2288,4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1764,8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423,1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6521,5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1865,3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544"/>
        </w:trPr>
        <w:tc>
          <w:tcPr>
            <w:tcW w:w="709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127" w:type="dxa"/>
            <w:vMerge w:val="restart"/>
            <w:noWrap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87BB1" w:rsidRPr="00587BB1" w:rsidRDefault="00587BB1" w:rsidP="00B4463B">
            <w:pPr>
              <w:rPr>
                <w:rFonts w:ascii="Times New Roman" w:hAnsi="Times New Roman"/>
                <w:b/>
                <w:sz w:val="20"/>
              </w:rPr>
            </w:pPr>
            <w:r w:rsidRPr="00587BB1">
              <w:rPr>
                <w:rFonts w:ascii="Times New Roman" w:hAnsi="Times New Roman"/>
                <w:b/>
                <w:sz w:val="20"/>
              </w:rPr>
              <w:t>Строительство культурно-досугового центра в с. Нюксеница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587BB1" w:rsidTr="00587BB1">
        <w:trPr>
          <w:trHeight w:val="18"/>
        </w:trPr>
        <w:tc>
          <w:tcPr>
            <w:tcW w:w="709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7BB1" w:rsidRPr="00587BB1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587BB1" w:rsidRPr="00587BB1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587BB1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noWrap/>
            <w:vAlign w:val="bottom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587BB1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7BB1" w:rsidRPr="00353777" w:rsidTr="00587BB1">
        <w:trPr>
          <w:trHeight w:val="18"/>
        </w:trPr>
        <w:tc>
          <w:tcPr>
            <w:tcW w:w="709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587BB1" w:rsidRPr="00353777" w:rsidRDefault="00587BB1" w:rsidP="00B4463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  <w:noWrap/>
            <w:vAlign w:val="bottom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9" w:type="dxa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</w:tcPr>
          <w:p w:rsidR="00587BB1" w:rsidRPr="00353777" w:rsidRDefault="00587BB1" w:rsidP="00B4463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FA4C79"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0FD6" w:rsidRDefault="00E30FD6" w:rsidP="00E30FD6">
      <w:pPr>
        <w:rPr>
          <w:rFonts w:ascii="Times New Roman" w:hAnsi="Times New Roman"/>
        </w:rPr>
      </w:pPr>
    </w:p>
    <w:p w:rsidR="0040765D" w:rsidRPr="0040765D" w:rsidRDefault="00CB3E59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2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BC5A86" w:rsidRPr="0040765D" w:rsidTr="007423F0">
        <w:trPr>
          <w:trHeight w:val="20"/>
        </w:trPr>
        <w:tc>
          <w:tcPr>
            <w:tcW w:w="50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1.</w:t>
            </w:r>
          </w:p>
        </w:tc>
        <w:tc>
          <w:tcPr>
            <w:tcW w:w="5120" w:type="dxa"/>
          </w:tcPr>
          <w:p w:rsidR="00BC5A86" w:rsidRPr="0040765D" w:rsidRDefault="00BC5A86" w:rsidP="00BC5A86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постановление</w:t>
            </w:r>
          </w:p>
        </w:tc>
        <w:tc>
          <w:tcPr>
            <w:tcW w:w="166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25.04.2022</w:t>
            </w:r>
          </w:p>
        </w:tc>
        <w:tc>
          <w:tcPr>
            <w:tcW w:w="1540" w:type="dxa"/>
            <w:noWrap/>
          </w:tcPr>
          <w:p w:rsidR="00BC5A86" w:rsidRPr="0040765D" w:rsidRDefault="00BC5A86" w:rsidP="00BC5A86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88</w:t>
            </w:r>
          </w:p>
        </w:tc>
        <w:tc>
          <w:tcPr>
            <w:tcW w:w="5796" w:type="dxa"/>
            <w:noWrap/>
            <w:vAlign w:val="bottom"/>
          </w:tcPr>
          <w:p w:rsidR="00BC5A86" w:rsidRPr="0040765D" w:rsidRDefault="00BC5A86" w:rsidP="00BC5A86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Корректировка ресурсного обеспечения программы в соответствии с решением Представительного Собрания Нюксенского муниципального района от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31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03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года №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5 </w:t>
            </w:r>
            <w:r w:rsidRPr="006E5DE4">
              <w:rPr>
                <w:rFonts w:ascii="Times New Roman" w:hAnsi="Times New Roman"/>
                <w:color w:val="000000"/>
                <w:sz w:val="20"/>
                <w:szCs w:val="22"/>
              </w:rPr>
              <w:t>«О бюджете Нюксенского муниципального района на 2021 год и план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овый период 2022 и 2023 годов».</w:t>
            </w:r>
          </w:p>
        </w:tc>
      </w:tr>
    </w:tbl>
    <w:p w:rsidR="00E30FD6" w:rsidRPr="00E30FD6" w:rsidRDefault="00BC5A86" w:rsidP="00E30FD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30FD6" w:rsidRPr="00E30FD6">
        <w:rPr>
          <w:rFonts w:ascii="Times New Roman" w:hAnsi="Times New Roman"/>
        </w:rPr>
        <w:t>ачальник отдела культуры и спорта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района </w:t>
      </w:r>
      <w:r w:rsidR="0040765D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E30FD6">
        <w:rPr>
          <w:rFonts w:ascii="Times New Roman" w:hAnsi="Times New Roman"/>
        </w:rPr>
        <w:t>Е.Н. Пушникова (81747) 2- 87-61</w:t>
      </w:r>
    </w:p>
    <w:sectPr w:rsidR="0070380E" w:rsidSect="00E30FD6"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59" w:rsidRDefault="00CB3E59" w:rsidP="00DD32F6">
      <w:r>
        <w:separator/>
      </w:r>
    </w:p>
  </w:endnote>
  <w:endnote w:type="continuationSeparator" w:id="0">
    <w:p w:rsidR="00CB3E59" w:rsidRDefault="00CB3E59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B1" w:rsidRDefault="00587B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F1" w:rsidRDefault="00733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F1" w:rsidRDefault="00733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59" w:rsidRDefault="00CB3E59" w:rsidP="00DD32F6">
      <w:r>
        <w:separator/>
      </w:r>
    </w:p>
  </w:footnote>
  <w:footnote w:type="continuationSeparator" w:id="0">
    <w:p w:rsidR="00CB3E59" w:rsidRDefault="00CB3E59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1FCC"/>
    <w:rsid w:val="000525B3"/>
    <w:rsid w:val="000569CA"/>
    <w:rsid w:val="00060010"/>
    <w:rsid w:val="000643E1"/>
    <w:rsid w:val="00071A03"/>
    <w:rsid w:val="000767C7"/>
    <w:rsid w:val="00082A63"/>
    <w:rsid w:val="000A14FB"/>
    <w:rsid w:val="000A478A"/>
    <w:rsid w:val="000A706B"/>
    <w:rsid w:val="000B47B9"/>
    <w:rsid w:val="000C238A"/>
    <w:rsid w:val="000D5534"/>
    <w:rsid w:val="000D5F2D"/>
    <w:rsid w:val="000E18E6"/>
    <w:rsid w:val="000E279E"/>
    <w:rsid w:val="000E60F4"/>
    <w:rsid w:val="00107960"/>
    <w:rsid w:val="001141D8"/>
    <w:rsid w:val="001300DB"/>
    <w:rsid w:val="001330C6"/>
    <w:rsid w:val="001336BB"/>
    <w:rsid w:val="00155FC4"/>
    <w:rsid w:val="001560AD"/>
    <w:rsid w:val="0015724F"/>
    <w:rsid w:val="0016617C"/>
    <w:rsid w:val="001B455D"/>
    <w:rsid w:val="001B52CA"/>
    <w:rsid w:val="001D2C47"/>
    <w:rsid w:val="001D75A5"/>
    <w:rsid w:val="001E1343"/>
    <w:rsid w:val="001F634E"/>
    <w:rsid w:val="002003FF"/>
    <w:rsid w:val="002178A8"/>
    <w:rsid w:val="002303CF"/>
    <w:rsid w:val="00232E7E"/>
    <w:rsid w:val="00236713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E6F8B"/>
    <w:rsid w:val="0030668F"/>
    <w:rsid w:val="003101A0"/>
    <w:rsid w:val="00314BA2"/>
    <w:rsid w:val="0035222C"/>
    <w:rsid w:val="00353777"/>
    <w:rsid w:val="003730B7"/>
    <w:rsid w:val="00373569"/>
    <w:rsid w:val="003873BB"/>
    <w:rsid w:val="003958FA"/>
    <w:rsid w:val="0039765D"/>
    <w:rsid w:val="003B43F0"/>
    <w:rsid w:val="003B731F"/>
    <w:rsid w:val="003C3D49"/>
    <w:rsid w:val="003D5419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556BB"/>
    <w:rsid w:val="00461B1C"/>
    <w:rsid w:val="00465BCF"/>
    <w:rsid w:val="0048594A"/>
    <w:rsid w:val="00497359"/>
    <w:rsid w:val="004A7B8D"/>
    <w:rsid w:val="004B6470"/>
    <w:rsid w:val="004D118B"/>
    <w:rsid w:val="004D59E4"/>
    <w:rsid w:val="004E271F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87BB1"/>
    <w:rsid w:val="0059302A"/>
    <w:rsid w:val="005A30B7"/>
    <w:rsid w:val="005A50E0"/>
    <w:rsid w:val="005B7E70"/>
    <w:rsid w:val="005D2260"/>
    <w:rsid w:val="005E29BA"/>
    <w:rsid w:val="005E5E0C"/>
    <w:rsid w:val="005F1299"/>
    <w:rsid w:val="00602D3F"/>
    <w:rsid w:val="006032E3"/>
    <w:rsid w:val="00635DAE"/>
    <w:rsid w:val="0064195F"/>
    <w:rsid w:val="00642577"/>
    <w:rsid w:val="00650CE5"/>
    <w:rsid w:val="00652AA9"/>
    <w:rsid w:val="0067136D"/>
    <w:rsid w:val="006821F6"/>
    <w:rsid w:val="00692CF0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21D71"/>
    <w:rsid w:val="00725854"/>
    <w:rsid w:val="007339F1"/>
    <w:rsid w:val="007423F0"/>
    <w:rsid w:val="007439BD"/>
    <w:rsid w:val="007445D4"/>
    <w:rsid w:val="00750207"/>
    <w:rsid w:val="00751A1A"/>
    <w:rsid w:val="007665AC"/>
    <w:rsid w:val="007724ED"/>
    <w:rsid w:val="00775A0B"/>
    <w:rsid w:val="007A186A"/>
    <w:rsid w:val="007A3202"/>
    <w:rsid w:val="007B6025"/>
    <w:rsid w:val="007C0F62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651C"/>
    <w:rsid w:val="00876E52"/>
    <w:rsid w:val="00884BD9"/>
    <w:rsid w:val="00892B52"/>
    <w:rsid w:val="00894467"/>
    <w:rsid w:val="008A036A"/>
    <w:rsid w:val="008A5611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63349"/>
    <w:rsid w:val="00A704FF"/>
    <w:rsid w:val="00A85159"/>
    <w:rsid w:val="00A94E1B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140CD"/>
    <w:rsid w:val="00B42B1A"/>
    <w:rsid w:val="00B53C68"/>
    <w:rsid w:val="00B75A42"/>
    <w:rsid w:val="00B82011"/>
    <w:rsid w:val="00B9484C"/>
    <w:rsid w:val="00B96614"/>
    <w:rsid w:val="00B969C3"/>
    <w:rsid w:val="00BA490D"/>
    <w:rsid w:val="00BC09C7"/>
    <w:rsid w:val="00BC5A86"/>
    <w:rsid w:val="00BD7DDA"/>
    <w:rsid w:val="00BE4ADE"/>
    <w:rsid w:val="00BF51E7"/>
    <w:rsid w:val="00C030A7"/>
    <w:rsid w:val="00C110F6"/>
    <w:rsid w:val="00C115FC"/>
    <w:rsid w:val="00C13444"/>
    <w:rsid w:val="00C46BB6"/>
    <w:rsid w:val="00C55D42"/>
    <w:rsid w:val="00C621A2"/>
    <w:rsid w:val="00C70E04"/>
    <w:rsid w:val="00C76277"/>
    <w:rsid w:val="00C80314"/>
    <w:rsid w:val="00C832AF"/>
    <w:rsid w:val="00C86A88"/>
    <w:rsid w:val="00C922BE"/>
    <w:rsid w:val="00CA01E1"/>
    <w:rsid w:val="00CA0E49"/>
    <w:rsid w:val="00CA4B95"/>
    <w:rsid w:val="00CA4E85"/>
    <w:rsid w:val="00CA7F6F"/>
    <w:rsid w:val="00CB2DE7"/>
    <w:rsid w:val="00CB3E59"/>
    <w:rsid w:val="00CC4335"/>
    <w:rsid w:val="00CC5CB6"/>
    <w:rsid w:val="00CD1C42"/>
    <w:rsid w:val="00CD2DAF"/>
    <w:rsid w:val="00CF6AFD"/>
    <w:rsid w:val="00D004AD"/>
    <w:rsid w:val="00D04EB5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F366A"/>
    <w:rsid w:val="00DF5312"/>
    <w:rsid w:val="00DF60EB"/>
    <w:rsid w:val="00E1366C"/>
    <w:rsid w:val="00E14DAA"/>
    <w:rsid w:val="00E27AA9"/>
    <w:rsid w:val="00E307B2"/>
    <w:rsid w:val="00E30FD6"/>
    <w:rsid w:val="00E335EC"/>
    <w:rsid w:val="00E34FA3"/>
    <w:rsid w:val="00E42ED4"/>
    <w:rsid w:val="00E550B8"/>
    <w:rsid w:val="00E5703F"/>
    <w:rsid w:val="00E80803"/>
    <w:rsid w:val="00E8571B"/>
    <w:rsid w:val="00EA3F1B"/>
    <w:rsid w:val="00EA4E13"/>
    <w:rsid w:val="00EA71E9"/>
    <w:rsid w:val="00EB0DAE"/>
    <w:rsid w:val="00EB354D"/>
    <w:rsid w:val="00EB48CB"/>
    <w:rsid w:val="00EC736B"/>
    <w:rsid w:val="00ED35DC"/>
    <w:rsid w:val="00ED4A65"/>
    <w:rsid w:val="00F07816"/>
    <w:rsid w:val="00F13788"/>
    <w:rsid w:val="00F17B35"/>
    <w:rsid w:val="00F41832"/>
    <w:rsid w:val="00F50E05"/>
    <w:rsid w:val="00F50EAA"/>
    <w:rsid w:val="00F52E57"/>
    <w:rsid w:val="00F56BC3"/>
    <w:rsid w:val="00F61E61"/>
    <w:rsid w:val="00F77CD9"/>
    <w:rsid w:val="00F848E2"/>
    <w:rsid w:val="00FA4C79"/>
    <w:rsid w:val="00FB6C57"/>
    <w:rsid w:val="00FC7800"/>
    <w:rsid w:val="00FD355D"/>
    <w:rsid w:val="00FE2788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Название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D9AB-6BDC-4AF4-AB07-1DC8678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Культура-1</cp:lastModifiedBy>
  <cp:revision>8</cp:revision>
  <cp:lastPrinted>2022-07-22T11:48:00Z</cp:lastPrinted>
  <dcterms:created xsi:type="dcterms:W3CDTF">2022-04-27T07:18:00Z</dcterms:created>
  <dcterms:modified xsi:type="dcterms:W3CDTF">2022-07-22T11:51:00Z</dcterms:modified>
</cp:coreProperties>
</file>